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A2D65" w14:textId="196760D5" w:rsidR="00E010FF" w:rsidRPr="002038A6" w:rsidRDefault="008B6664" w:rsidP="00792326">
      <w:pPr>
        <w:pBdr>
          <w:bottom w:val="single" w:sz="12" w:space="1" w:color="auto"/>
        </w:pBdr>
        <w:spacing w:before="240" w:after="0"/>
        <w:jc w:val="left"/>
        <w:rPr>
          <w:rFonts w:ascii="Franklin Gothic Book" w:hAnsi="Franklin Gothic Book"/>
          <w:sz w:val="40"/>
          <w:szCs w:val="40"/>
        </w:rPr>
      </w:pPr>
      <w:r>
        <w:rPr>
          <w:rFonts w:ascii="Franklin Gothic Book" w:hAnsi="Franklin Gothic Book"/>
          <w:sz w:val="40"/>
          <w:szCs w:val="40"/>
        </w:rPr>
        <w:t>Model</w:t>
      </w:r>
      <w:r w:rsidRPr="002038A6">
        <w:rPr>
          <w:rFonts w:ascii="Franklin Gothic Book" w:hAnsi="Franklin Gothic Book"/>
          <w:sz w:val="40"/>
          <w:szCs w:val="40"/>
        </w:rPr>
        <w:t xml:space="preserve"> </w:t>
      </w:r>
      <w:r w:rsidR="001A3E1D" w:rsidRPr="002038A6">
        <w:rPr>
          <w:rFonts w:ascii="Franklin Gothic Book" w:hAnsi="Franklin Gothic Book"/>
          <w:sz w:val="40"/>
          <w:szCs w:val="40"/>
        </w:rPr>
        <w:t xml:space="preserve">Terms of Reference for </w:t>
      </w:r>
      <w:r w:rsidR="00ED467F">
        <w:rPr>
          <w:rFonts w:ascii="Franklin Gothic Book" w:hAnsi="Franklin Gothic Book"/>
          <w:sz w:val="40"/>
          <w:szCs w:val="40"/>
        </w:rPr>
        <w:t xml:space="preserve">flexible </w:t>
      </w:r>
      <w:r w:rsidR="007159AA" w:rsidRPr="002038A6">
        <w:rPr>
          <w:rFonts w:ascii="Franklin Gothic Book" w:hAnsi="Franklin Gothic Book"/>
          <w:sz w:val="40"/>
          <w:szCs w:val="40"/>
        </w:rPr>
        <w:t xml:space="preserve">EITI reporting </w:t>
      </w:r>
      <w:r w:rsidR="007159AA" w:rsidRPr="310824E3">
        <w:rPr>
          <w:rFonts w:ascii="Franklin Gothic Book" w:hAnsi="Franklin Gothic Book"/>
          <w:sz w:val="40"/>
          <w:szCs w:val="40"/>
        </w:rPr>
        <w:t>202</w:t>
      </w:r>
      <w:r w:rsidR="008F582B">
        <w:rPr>
          <w:rFonts w:ascii="Franklin Gothic Book" w:hAnsi="Franklin Gothic Book"/>
          <w:sz w:val="40"/>
          <w:szCs w:val="40"/>
        </w:rPr>
        <w:t>2</w:t>
      </w:r>
      <w:r w:rsidR="00085173" w:rsidRPr="002038A6">
        <w:rPr>
          <w:rFonts w:ascii="Franklin Gothic Book" w:hAnsi="Franklin Gothic Book"/>
          <w:sz w:val="40"/>
          <w:szCs w:val="40"/>
        </w:rPr>
        <w:t xml:space="preserve"> </w:t>
      </w:r>
    </w:p>
    <w:p w14:paraId="4DD8E1EE" w14:textId="77777777" w:rsidR="009910F9" w:rsidRPr="00FD1ABC" w:rsidRDefault="009910F9" w:rsidP="009910F9">
      <w:pPr>
        <w:shd w:val="clear" w:color="auto" w:fill="FFFFFF"/>
        <w:autoSpaceDE w:val="0"/>
        <w:autoSpaceDN w:val="0"/>
        <w:adjustRightInd w:val="0"/>
        <w:spacing w:before="240" w:after="240" w:line="240" w:lineRule="auto"/>
        <w:jc w:val="center"/>
        <w:rPr>
          <w:rFonts w:ascii="Franklin Gothic Book" w:hAnsi="Franklin Gothic Book" w:cs="Calibri"/>
          <w:bCs/>
          <w:color w:val="0070C0"/>
          <w:lang w:eastAsia="fr-FR" w:bidi="ar-SA"/>
        </w:rPr>
      </w:pPr>
      <w:r w:rsidRPr="00FD1ABC">
        <w:rPr>
          <w:rFonts w:ascii="Franklin Gothic Book" w:hAnsi="Franklin Gothic Book" w:cs="Calibri"/>
          <w:bCs/>
          <w:lang w:eastAsia="fr-FR" w:bidi="ar-SA"/>
        </w:rPr>
        <w:t xml:space="preserve">Approved by the </w:t>
      </w:r>
      <w:r w:rsidRPr="00FD1ABC">
        <w:rPr>
          <w:rFonts w:ascii="Franklin Gothic Book" w:hAnsi="Franklin Gothic Book" w:cs="Calibri"/>
          <w:bCs/>
          <w:color w:val="0070C0"/>
          <w:lang w:eastAsia="fr-FR" w:bidi="ar-SA"/>
        </w:rPr>
        <w:t>[MSG]</w:t>
      </w:r>
      <w:r w:rsidRPr="00FD1ABC">
        <w:rPr>
          <w:rFonts w:ascii="Franklin Gothic Book" w:hAnsi="Franklin Gothic Book" w:cs="Calibri"/>
          <w:bCs/>
          <w:lang w:eastAsia="fr-FR" w:bidi="ar-SA"/>
        </w:rPr>
        <w:t xml:space="preserve"> on </w:t>
      </w:r>
      <w:r w:rsidRPr="00FD1ABC">
        <w:rPr>
          <w:rFonts w:ascii="Franklin Gothic Book" w:hAnsi="Franklin Gothic Book" w:cs="Calibri"/>
          <w:bCs/>
          <w:color w:val="0070C0"/>
          <w:lang w:eastAsia="fr-FR" w:bidi="ar-SA"/>
        </w:rPr>
        <w:t>[date]</w:t>
      </w:r>
    </w:p>
    <w:p w14:paraId="08BB0A52" w14:textId="17450E6B" w:rsidR="00995047" w:rsidRPr="00FD1ABC" w:rsidRDefault="005971D2" w:rsidP="00995047">
      <w:pPr>
        <w:shd w:val="clear" w:color="auto" w:fill="FFFFFF"/>
        <w:autoSpaceDE w:val="0"/>
        <w:autoSpaceDN w:val="0"/>
        <w:adjustRightInd w:val="0"/>
        <w:spacing w:before="240" w:after="240" w:line="240" w:lineRule="auto"/>
        <w:jc w:val="left"/>
        <w:rPr>
          <w:rFonts w:ascii="Franklin Gothic Book" w:hAnsi="Franklin Gothic Book" w:cs="Calibri"/>
          <w:bCs/>
          <w:lang w:eastAsia="fr-FR" w:bidi="ar-SA"/>
        </w:rPr>
      </w:pPr>
      <w:r w:rsidRPr="00FD1ABC">
        <w:rPr>
          <w:rFonts w:ascii="Franklin Gothic Book" w:hAnsi="Franklin Gothic Book" w:cs="Calibri"/>
          <w:bCs/>
          <w:lang w:eastAsia="fr-FR" w:bidi="ar-SA"/>
        </w:rPr>
        <w:t>Table of Contents</w:t>
      </w:r>
    </w:p>
    <w:sdt>
      <w:sdtPr>
        <w:rPr>
          <w:rFonts w:ascii="Franklin Gothic Book" w:hAnsi="Franklin Gothic Book" w:cs="Times New Roman"/>
          <w:sz w:val="22"/>
        </w:rPr>
        <w:id w:val="1794937977"/>
        <w:docPartObj>
          <w:docPartGallery w:val="Table of Contents"/>
          <w:docPartUnique/>
        </w:docPartObj>
      </w:sdtPr>
      <w:sdtEndPr>
        <w:rPr>
          <w:rFonts w:cs="Calibri"/>
          <w:b/>
          <w:bCs/>
          <w:sz w:val="20"/>
        </w:rPr>
      </w:sdtEndPr>
      <w:sdtContent>
        <w:p w14:paraId="29D2D421" w14:textId="6E8ED667" w:rsidR="00E549D8" w:rsidRDefault="000E7C96">
          <w:pPr>
            <w:pStyle w:val="TOC1"/>
            <w:tabs>
              <w:tab w:val="left" w:pos="440"/>
              <w:tab w:val="right" w:leader="dot" w:pos="9622"/>
            </w:tabs>
            <w:rPr>
              <w:rFonts w:asciiTheme="minorHAnsi" w:eastAsiaTheme="minorEastAsia" w:hAnsiTheme="minorHAnsi" w:cstheme="minorBidi"/>
              <w:noProof/>
              <w:sz w:val="22"/>
              <w:lang w:eastAsia="en-GB" w:bidi="ar-SA"/>
            </w:rPr>
          </w:pPr>
          <w:r w:rsidRPr="00FD1ABC">
            <w:rPr>
              <w:rFonts w:ascii="Franklin Gothic Book" w:hAnsi="Franklin Gothic Book"/>
            </w:rPr>
            <w:fldChar w:fldCharType="begin"/>
          </w:r>
          <w:r w:rsidRPr="0040188E">
            <w:rPr>
              <w:rFonts w:ascii="Franklin Gothic Book" w:hAnsi="Franklin Gothic Book"/>
            </w:rPr>
            <w:instrText xml:space="preserve"> TOC \o "1-3" \h \z \u </w:instrText>
          </w:r>
          <w:r w:rsidRPr="00FD1ABC">
            <w:rPr>
              <w:rFonts w:ascii="Franklin Gothic Book" w:hAnsi="Franklin Gothic Book"/>
            </w:rPr>
            <w:fldChar w:fldCharType="separate"/>
          </w:r>
          <w:hyperlink w:anchor="_Toc42596338" w:history="1">
            <w:r w:rsidR="00E549D8" w:rsidRPr="00200C3E">
              <w:rPr>
                <w:rStyle w:val="Hyperlink"/>
                <w:rFonts w:ascii="Franklin Gothic Book" w:hAnsi="Franklin Gothic Book"/>
                <w:noProof/>
                <w:lang w:eastAsia="fr-FR"/>
              </w:rPr>
              <w:t>1</w:t>
            </w:r>
            <w:r w:rsidR="00E549D8">
              <w:rPr>
                <w:rFonts w:asciiTheme="minorHAnsi" w:eastAsiaTheme="minorEastAsia" w:hAnsiTheme="minorHAnsi" w:cstheme="minorBidi"/>
                <w:noProof/>
                <w:sz w:val="22"/>
                <w:lang w:eastAsia="en-GB" w:bidi="ar-SA"/>
              </w:rPr>
              <w:tab/>
            </w:r>
            <w:r w:rsidR="00E549D8" w:rsidRPr="00200C3E">
              <w:rPr>
                <w:rStyle w:val="Hyperlink"/>
                <w:rFonts w:ascii="Franklin Gothic Book" w:hAnsi="Franklin Gothic Book"/>
                <w:noProof/>
                <w:lang w:eastAsia="fr-FR"/>
              </w:rPr>
              <w:t>Background</w:t>
            </w:r>
            <w:r w:rsidR="00E549D8">
              <w:rPr>
                <w:noProof/>
                <w:webHidden/>
              </w:rPr>
              <w:tab/>
            </w:r>
            <w:r w:rsidR="00E549D8">
              <w:rPr>
                <w:noProof/>
                <w:webHidden/>
              </w:rPr>
              <w:fldChar w:fldCharType="begin"/>
            </w:r>
            <w:r w:rsidR="00E549D8">
              <w:rPr>
                <w:noProof/>
                <w:webHidden/>
              </w:rPr>
              <w:instrText xml:space="preserve"> PAGEREF _Toc42596338 \h </w:instrText>
            </w:r>
            <w:r w:rsidR="00E549D8">
              <w:rPr>
                <w:noProof/>
                <w:webHidden/>
              </w:rPr>
            </w:r>
            <w:r w:rsidR="00E549D8">
              <w:rPr>
                <w:noProof/>
                <w:webHidden/>
              </w:rPr>
              <w:fldChar w:fldCharType="separate"/>
            </w:r>
            <w:r w:rsidR="00E549D8">
              <w:rPr>
                <w:noProof/>
                <w:webHidden/>
              </w:rPr>
              <w:t>1</w:t>
            </w:r>
            <w:r w:rsidR="00E549D8">
              <w:rPr>
                <w:noProof/>
                <w:webHidden/>
              </w:rPr>
              <w:fldChar w:fldCharType="end"/>
            </w:r>
          </w:hyperlink>
        </w:p>
        <w:p w14:paraId="1820BAC6" w14:textId="4D01580A" w:rsidR="00E549D8" w:rsidRDefault="00B9416B">
          <w:pPr>
            <w:pStyle w:val="TOC1"/>
            <w:tabs>
              <w:tab w:val="left" w:pos="440"/>
              <w:tab w:val="right" w:leader="dot" w:pos="9622"/>
            </w:tabs>
            <w:rPr>
              <w:rFonts w:asciiTheme="minorHAnsi" w:eastAsiaTheme="minorEastAsia" w:hAnsiTheme="minorHAnsi" w:cstheme="minorBidi"/>
              <w:noProof/>
              <w:sz w:val="22"/>
              <w:lang w:eastAsia="en-GB" w:bidi="ar-SA"/>
            </w:rPr>
          </w:pPr>
          <w:hyperlink w:anchor="_Toc42596339" w:history="1">
            <w:r w:rsidR="00E549D8" w:rsidRPr="00200C3E">
              <w:rPr>
                <w:rStyle w:val="Hyperlink"/>
                <w:rFonts w:ascii="Franklin Gothic Book" w:hAnsi="Franklin Gothic Book"/>
                <w:noProof/>
                <w:lang w:eastAsia="fr-FR"/>
              </w:rPr>
              <w:t>2</w:t>
            </w:r>
            <w:r w:rsidR="00E549D8">
              <w:rPr>
                <w:rFonts w:asciiTheme="minorHAnsi" w:eastAsiaTheme="minorEastAsia" w:hAnsiTheme="minorHAnsi" w:cstheme="minorBidi"/>
                <w:noProof/>
                <w:sz w:val="22"/>
                <w:lang w:eastAsia="en-GB" w:bidi="ar-SA"/>
              </w:rPr>
              <w:tab/>
            </w:r>
            <w:r w:rsidR="00E549D8" w:rsidRPr="00200C3E">
              <w:rPr>
                <w:rStyle w:val="Hyperlink"/>
                <w:rFonts w:ascii="Franklin Gothic Book" w:hAnsi="Franklin Gothic Book"/>
                <w:noProof/>
                <w:lang w:eastAsia="fr-FR"/>
              </w:rPr>
              <w:t>Objectives and expectations of reporting</w:t>
            </w:r>
            <w:r w:rsidR="00E549D8">
              <w:rPr>
                <w:noProof/>
                <w:webHidden/>
              </w:rPr>
              <w:tab/>
            </w:r>
            <w:r w:rsidR="00E549D8">
              <w:rPr>
                <w:noProof/>
                <w:webHidden/>
              </w:rPr>
              <w:fldChar w:fldCharType="begin"/>
            </w:r>
            <w:r w:rsidR="00E549D8">
              <w:rPr>
                <w:noProof/>
                <w:webHidden/>
              </w:rPr>
              <w:instrText xml:space="preserve"> PAGEREF _Toc42596339 \h </w:instrText>
            </w:r>
            <w:r w:rsidR="00E549D8">
              <w:rPr>
                <w:noProof/>
                <w:webHidden/>
              </w:rPr>
            </w:r>
            <w:r w:rsidR="00E549D8">
              <w:rPr>
                <w:noProof/>
                <w:webHidden/>
              </w:rPr>
              <w:fldChar w:fldCharType="separate"/>
            </w:r>
            <w:r w:rsidR="00E549D8">
              <w:rPr>
                <w:noProof/>
                <w:webHidden/>
              </w:rPr>
              <w:t>1</w:t>
            </w:r>
            <w:r w:rsidR="00E549D8">
              <w:rPr>
                <w:noProof/>
                <w:webHidden/>
              </w:rPr>
              <w:fldChar w:fldCharType="end"/>
            </w:r>
          </w:hyperlink>
        </w:p>
        <w:p w14:paraId="3AAA0E07" w14:textId="7A70E402" w:rsidR="00E549D8" w:rsidRDefault="00B9416B">
          <w:pPr>
            <w:pStyle w:val="TOC1"/>
            <w:tabs>
              <w:tab w:val="left" w:pos="440"/>
              <w:tab w:val="right" w:leader="dot" w:pos="9622"/>
            </w:tabs>
            <w:rPr>
              <w:rFonts w:asciiTheme="minorHAnsi" w:eastAsiaTheme="minorEastAsia" w:hAnsiTheme="minorHAnsi" w:cstheme="minorBidi"/>
              <w:noProof/>
              <w:sz w:val="22"/>
              <w:lang w:eastAsia="en-GB" w:bidi="ar-SA"/>
            </w:rPr>
          </w:pPr>
          <w:hyperlink w:anchor="_Toc42596340" w:history="1">
            <w:r w:rsidR="00E549D8" w:rsidRPr="00200C3E">
              <w:rPr>
                <w:rStyle w:val="Hyperlink"/>
                <w:rFonts w:ascii="Franklin Gothic Book" w:eastAsia="Calibri" w:hAnsi="Franklin Gothic Book"/>
                <w:noProof/>
                <w:lang w:eastAsia="nb-NO"/>
              </w:rPr>
              <w:t>3</w:t>
            </w:r>
            <w:r w:rsidR="00E549D8">
              <w:rPr>
                <w:rFonts w:asciiTheme="minorHAnsi" w:eastAsiaTheme="minorEastAsia" w:hAnsiTheme="minorHAnsi" w:cstheme="minorBidi"/>
                <w:noProof/>
                <w:sz w:val="22"/>
                <w:lang w:eastAsia="en-GB" w:bidi="ar-SA"/>
              </w:rPr>
              <w:tab/>
            </w:r>
            <w:r w:rsidR="00E549D8" w:rsidRPr="00200C3E">
              <w:rPr>
                <w:rStyle w:val="Hyperlink"/>
                <w:rFonts w:ascii="Franklin Gothic Book" w:eastAsia="Calibri" w:hAnsi="Franklin Gothic Book"/>
                <w:noProof/>
                <w:lang w:eastAsia="nb-NO"/>
              </w:rPr>
              <w:t>Scope of reporting, tasks and expected deliverables</w:t>
            </w:r>
            <w:r w:rsidR="00E549D8">
              <w:rPr>
                <w:noProof/>
                <w:webHidden/>
              </w:rPr>
              <w:tab/>
            </w:r>
            <w:r w:rsidR="00E549D8">
              <w:rPr>
                <w:noProof/>
                <w:webHidden/>
              </w:rPr>
              <w:fldChar w:fldCharType="begin"/>
            </w:r>
            <w:r w:rsidR="00E549D8">
              <w:rPr>
                <w:noProof/>
                <w:webHidden/>
              </w:rPr>
              <w:instrText xml:space="preserve"> PAGEREF _Toc42596340 \h </w:instrText>
            </w:r>
            <w:r w:rsidR="00E549D8">
              <w:rPr>
                <w:noProof/>
                <w:webHidden/>
              </w:rPr>
            </w:r>
            <w:r w:rsidR="00E549D8">
              <w:rPr>
                <w:noProof/>
                <w:webHidden/>
              </w:rPr>
              <w:fldChar w:fldCharType="separate"/>
            </w:r>
            <w:r w:rsidR="00E549D8">
              <w:rPr>
                <w:noProof/>
                <w:webHidden/>
              </w:rPr>
              <w:t>2</w:t>
            </w:r>
            <w:r w:rsidR="00E549D8">
              <w:rPr>
                <w:noProof/>
                <w:webHidden/>
              </w:rPr>
              <w:fldChar w:fldCharType="end"/>
            </w:r>
          </w:hyperlink>
        </w:p>
        <w:p w14:paraId="1961D4EA" w14:textId="4D6A7B90" w:rsidR="0076696E" w:rsidRPr="00FD1ABC" w:rsidRDefault="00B9416B" w:rsidP="00C97685">
          <w:pPr>
            <w:pStyle w:val="TOC1"/>
            <w:tabs>
              <w:tab w:val="left" w:pos="440"/>
              <w:tab w:val="right" w:leader="dot" w:pos="9622"/>
            </w:tabs>
            <w:rPr>
              <w:rFonts w:ascii="Franklin Gothic Book" w:hAnsi="Franklin Gothic Book"/>
              <w:b/>
              <w:bCs/>
            </w:rPr>
          </w:pPr>
          <w:hyperlink w:anchor="_Toc42596341" w:history="1">
            <w:r w:rsidR="00E549D8" w:rsidRPr="00200C3E">
              <w:rPr>
                <w:rStyle w:val="Hyperlink"/>
                <w:rFonts w:ascii="Franklin Gothic Book" w:eastAsia="Calibri" w:hAnsi="Franklin Gothic Book"/>
                <w:noProof/>
                <w:lang w:eastAsia="nb-NO"/>
              </w:rPr>
              <w:t>4</w:t>
            </w:r>
            <w:r w:rsidR="00E549D8">
              <w:rPr>
                <w:rFonts w:asciiTheme="minorHAnsi" w:eastAsiaTheme="minorEastAsia" w:hAnsiTheme="minorHAnsi" w:cstheme="minorBidi"/>
                <w:noProof/>
                <w:sz w:val="22"/>
                <w:lang w:eastAsia="en-GB" w:bidi="ar-SA"/>
              </w:rPr>
              <w:tab/>
            </w:r>
            <w:r w:rsidR="00E549D8" w:rsidRPr="00200C3E">
              <w:rPr>
                <w:rStyle w:val="Hyperlink"/>
                <w:rFonts w:ascii="Franklin Gothic Book" w:eastAsia="Calibri" w:hAnsi="Franklin Gothic Book"/>
                <w:noProof/>
                <w:lang w:eastAsia="nb-NO"/>
              </w:rPr>
              <w:t>Time schedule for reporting</w:t>
            </w:r>
            <w:r w:rsidR="00E549D8">
              <w:rPr>
                <w:noProof/>
                <w:webHidden/>
              </w:rPr>
              <w:tab/>
            </w:r>
            <w:r w:rsidR="00E549D8">
              <w:rPr>
                <w:noProof/>
                <w:webHidden/>
              </w:rPr>
              <w:fldChar w:fldCharType="begin"/>
            </w:r>
            <w:r w:rsidR="00E549D8">
              <w:rPr>
                <w:noProof/>
                <w:webHidden/>
              </w:rPr>
              <w:instrText xml:space="preserve"> PAGEREF _Toc42596341 \h </w:instrText>
            </w:r>
            <w:r w:rsidR="00E549D8">
              <w:rPr>
                <w:noProof/>
                <w:webHidden/>
              </w:rPr>
            </w:r>
            <w:r w:rsidR="00E549D8">
              <w:rPr>
                <w:noProof/>
                <w:webHidden/>
              </w:rPr>
              <w:fldChar w:fldCharType="separate"/>
            </w:r>
            <w:r w:rsidR="00E549D8">
              <w:rPr>
                <w:noProof/>
                <w:webHidden/>
              </w:rPr>
              <w:t>9</w:t>
            </w:r>
            <w:r w:rsidR="00E549D8">
              <w:rPr>
                <w:noProof/>
                <w:webHidden/>
              </w:rPr>
              <w:fldChar w:fldCharType="end"/>
            </w:r>
          </w:hyperlink>
          <w:r w:rsidR="000E7C96" w:rsidRPr="00FD1ABC">
            <w:rPr>
              <w:rFonts w:ascii="Franklin Gothic Book" w:hAnsi="Franklin Gothic Book"/>
              <w:b/>
              <w:bCs/>
            </w:rPr>
            <w:fldChar w:fldCharType="end"/>
          </w:r>
        </w:p>
      </w:sdtContent>
    </w:sdt>
    <w:bookmarkStart w:id="0" w:name="_Toc413350649" w:displacedByCustomXml="prev"/>
    <w:bookmarkEnd w:id="0" w:displacedByCustomXml="prev"/>
    <w:bookmarkStart w:id="1" w:name="_Toc413350620" w:displacedByCustomXml="prev"/>
    <w:bookmarkEnd w:id="1" w:displacedByCustomXml="prev"/>
    <w:bookmarkStart w:id="2" w:name="_Toc420357363" w:displacedByCustomXml="prev"/>
    <w:bookmarkStart w:id="3" w:name="_Toc420357620" w:displacedByCustomXml="prev"/>
    <w:bookmarkStart w:id="4" w:name="_Toc420362729" w:displacedByCustomXml="prev"/>
    <w:p w14:paraId="62CA2D72" w14:textId="012FA92F" w:rsidR="00E010FF" w:rsidRDefault="00E010FF" w:rsidP="00F70AAE">
      <w:pPr>
        <w:pStyle w:val="Heading1"/>
        <w:numPr>
          <w:ilvl w:val="0"/>
          <w:numId w:val="17"/>
        </w:numPr>
        <w:rPr>
          <w:rFonts w:ascii="Franklin Gothic Book" w:hAnsi="Franklin Gothic Book"/>
          <w:lang w:eastAsia="fr-FR" w:bidi="ar-SA"/>
        </w:rPr>
      </w:pPr>
      <w:bookmarkStart w:id="5" w:name="_Toc42596338"/>
      <w:r w:rsidRPr="00FD1ABC">
        <w:rPr>
          <w:rFonts w:ascii="Franklin Gothic Book" w:hAnsi="Franklin Gothic Book"/>
          <w:lang w:eastAsia="fr-FR" w:bidi="ar-SA"/>
        </w:rPr>
        <w:t>Background</w:t>
      </w:r>
      <w:bookmarkEnd w:id="5"/>
      <w:bookmarkEnd w:id="4"/>
      <w:bookmarkEnd w:id="3"/>
      <w:bookmarkEnd w:id="2"/>
    </w:p>
    <w:p w14:paraId="281AF605" w14:textId="60D2956E" w:rsidR="00ED467F" w:rsidRPr="003A2CE4" w:rsidRDefault="00ED467F" w:rsidP="68CBBC64">
      <w:pPr>
        <w:shd w:val="clear" w:color="auto" w:fill="FFFFFF" w:themeFill="background1"/>
        <w:autoSpaceDE w:val="0"/>
        <w:autoSpaceDN w:val="0"/>
        <w:adjustRightInd w:val="0"/>
        <w:spacing w:before="200" w:after="120" w:line="240" w:lineRule="auto"/>
        <w:jc w:val="left"/>
        <w:rPr>
          <w:rFonts w:ascii="Franklin Gothic Book" w:hAnsi="Franklin Gothic Book" w:cs="Calibri"/>
          <w:lang w:val="en-US" w:eastAsia="fr-FR" w:bidi="ar-SA"/>
        </w:rPr>
      </w:pPr>
      <w:r w:rsidRPr="68CBBC64">
        <w:rPr>
          <w:rFonts w:ascii="Franklin Gothic Book" w:hAnsi="Franklin Gothic Book" w:cs="Calibri"/>
          <w:lang w:eastAsia="fr-FR" w:bidi="ar-SA"/>
        </w:rPr>
        <w:t>This document is a</w:t>
      </w:r>
      <w:r w:rsidRPr="68CBBC64" w:rsidDel="008B6664">
        <w:rPr>
          <w:rFonts w:ascii="Franklin Gothic Book" w:hAnsi="Franklin Gothic Book" w:cs="Calibri"/>
          <w:lang w:eastAsia="fr-FR" w:bidi="ar-SA"/>
        </w:rPr>
        <w:t xml:space="preserve"> </w:t>
      </w:r>
      <w:r w:rsidR="008B6664" w:rsidRPr="68CBBC64">
        <w:rPr>
          <w:rFonts w:ascii="Franklin Gothic Book" w:hAnsi="Franklin Gothic Book" w:cs="Calibri"/>
          <w:lang w:eastAsia="fr-FR" w:bidi="ar-SA"/>
        </w:rPr>
        <w:t xml:space="preserve">model </w:t>
      </w:r>
      <w:r w:rsidRPr="68CBBC64">
        <w:rPr>
          <w:rFonts w:ascii="Franklin Gothic Book" w:hAnsi="Franklin Gothic Book" w:cs="Calibri"/>
          <w:lang w:eastAsia="fr-FR" w:bidi="ar-SA"/>
        </w:rPr>
        <w:t xml:space="preserve">Terms of Reference (TOR) for EITI reporting, </w:t>
      </w:r>
      <w:r w:rsidR="0010497E">
        <w:rPr>
          <w:rFonts w:ascii="Franklin Gothic Book" w:hAnsi="Franklin Gothic Book" w:cs="Calibri"/>
          <w:lang w:eastAsia="fr-FR" w:bidi="ar-SA"/>
        </w:rPr>
        <w:t xml:space="preserve">aimed at encouraging implementing countries to </w:t>
      </w:r>
      <w:r w:rsidR="003A2CE4">
        <w:rPr>
          <w:rFonts w:ascii="Franklin Gothic Book" w:hAnsi="Franklin Gothic Book" w:cs="Calibri"/>
          <w:lang w:eastAsia="fr-FR" w:bidi="ar-SA"/>
        </w:rPr>
        <w:t xml:space="preserve">ensure that </w:t>
      </w:r>
      <w:r w:rsidR="0038212B">
        <w:rPr>
          <w:rFonts w:ascii="Franklin Gothic Book" w:hAnsi="Franklin Gothic Book" w:cs="Calibri"/>
          <w:lang w:eastAsia="fr-FR" w:bidi="ar-SA"/>
        </w:rPr>
        <w:t xml:space="preserve">reports published by 31 December 2022 </w:t>
      </w:r>
      <w:r w:rsidR="003A2CE4">
        <w:rPr>
          <w:rFonts w:ascii="Franklin Gothic Book" w:hAnsi="Franklin Gothic Book" w:cs="Calibri"/>
          <w:lang w:eastAsia="fr-FR" w:bidi="ar-SA"/>
        </w:rPr>
        <w:t>are timely and forward-looking</w:t>
      </w:r>
      <w:r w:rsidRPr="68CBBC64">
        <w:rPr>
          <w:rFonts w:ascii="Franklin Gothic Book" w:hAnsi="Franklin Gothic Book" w:cs="Calibri"/>
          <w:lang w:eastAsia="fr-FR" w:bidi="ar-SA"/>
        </w:rPr>
        <w:t>.</w:t>
      </w:r>
      <w:r w:rsidRPr="68CBBC64">
        <w:rPr>
          <w:rStyle w:val="FootnoteReference"/>
          <w:rFonts w:ascii="Franklin Gothic Book" w:hAnsi="Franklin Gothic Book" w:cs="Calibri"/>
          <w:lang w:eastAsia="fr-FR" w:bidi="ar-SA"/>
        </w:rPr>
        <w:footnoteReference w:id="2"/>
      </w:r>
      <w:r w:rsidR="003A2CE4">
        <w:rPr>
          <w:rFonts w:ascii="Franklin Gothic Book" w:hAnsi="Franklin Gothic Book" w:cs="Calibri"/>
          <w:lang w:eastAsia="fr-FR" w:bidi="ar-SA"/>
        </w:rPr>
        <w:t xml:space="preserve"> </w:t>
      </w:r>
      <w:r w:rsidRPr="68CBBC64">
        <w:rPr>
          <w:rFonts w:ascii="Franklin Gothic Book" w:hAnsi="Franklin Gothic Book" w:cs="Calibri"/>
          <w:lang w:eastAsia="fr-FR" w:bidi="ar-SA"/>
        </w:rPr>
        <w:t xml:space="preserve">The TORs set out the work to be undertaken by the MSG and the national secretariat. </w:t>
      </w:r>
      <w:r w:rsidR="00381F47" w:rsidRPr="68CBBC64">
        <w:rPr>
          <w:rFonts w:ascii="Franklin Gothic Book" w:hAnsi="Franklin Gothic Book" w:cs="Calibri"/>
          <w:b/>
          <w:bCs/>
          <w:color w:val="000000" w:themeColor="text1"/>
          <w:lang w:bidi="ar-SA"/>
        </w:rPr>
        <w:t>The MSG should agree the terms of reference for the EITI reporting process, drawing on the objectives and agreed scope of the EITI as set out in the MSG’s workplan</w:t>
      </w:r>
      <w:r w:rsidR="00331633" w:rsidRPr="68CBBC64">
        <w:rPr>
          <w:rFonts w:ascii="Franklin Gothic Book" w:hAnsi="Franklin Gothic Book" w:cs="Calibri"/>
          <w:b/>
          <w:bCs/>
          <w:color w:val="000000" w:themeColor="text1"/>
          <w:lang w:bidi="ar-SA"/>
        </w:rPr>
        <w:t>.</w:t>
      </w:r>
      <w:r w:rsidR="00381F47" w:rsidRPr="68CBBC64">
        <w:rPr>
          <w:rFonts w:ascii="Franklin Gothic Book" w:hAnsi="Franklin Gothic Book" w:cs="Calibri"/>
          <w:lang w:eastAsia="fr-FR" w:bidi="ar-SA"/>
        </w:rPr>
        <w:t xml:space="preserve"> </w:t>
      </w:r>
      <w:r w:rsidR="0010497E">
        <w:rPr>
          <w:rFonts w:ascii="Franklin Gothic Book" w:hAnsi="Franklin Gothic Book" w:cs="Calibri"/>
          <w:lang w:eastAsia="fr-FR" w:bidi="ar-SA"/>
        </w:rPr>
        <w:t>Depending on the capacity of the MSG and national secretariat</w:t>
      </w:r>
      <w:r w:rsidRPr="68CBBC64">
        <w:rPr>
          <w:rFonts w:ascii="Franklin Gothic Book" w:hAnsi="Franklin Gothic Book" w:cs="Calibri"/>
          <w:lang w:eastAsia="fr-FR" w:bidi="ar-SA"/>
        </w:rPr>
        <w:t>, the MSG may wish to procure a consultant to support the MSG in collating and analysing information from primary sources, addressing any gaps in publicly accessible information and</w:t>
      </w:r>
      <w:r w:rsidR="003A2CE4">
        <w:rPr>
          <w:rFonts w:ascii="Franklin Gothic Book" w:hAnsi="Franklin Gothic Book" w:cs="Calibri"/>
          <w:lang w:eastAsia="fr-FR" w:bidi="ar-SA"/>
        </w:rPr>
        <w:t xml:space="preserve"> addressing</w:t>
      </w:r>
      <w:r w:rsidRPr="68CBBC64">
        <w:rPr>
          <w:rFonts w:ascii="Franklin Gothic Book" w:hAnsi="Franklin Gothic Book" w:cs="Calibri"/>
          <w:lang w:eastAsia="fr-FR" w:bidi="ar-SA"/>
        </w:rPr>
        <w:t xml:space="preserve"> any stakeholder concerns about data quality.</w:t>
      </w:r>
      <w:r w:rsidR="00381F47" w:rsidRPr="68CBBC64">
        <w:rPr>
          <w:rFonts w:ascii="Franklin Gothic Book" w:hAnsi="Franklin Gothic Book" w:cs="Calibri"/>
          <w:lang w:eastAsia="fr-FR" w:bidi="ar-SA"/>
        </w:rPr>
        <w:t xml:space="preserve"> </w:t>
      </w:r>
    </w:p>
    <w:p w14:paraId="673E392B" w14:textId="43169D79" w:rsidR="00ED467F" w:rsidRDefault="00ED467F" w:rsidP="68CBBC64">
      <w:pPr>
        <w:shd w:val="clear" w:color="auto" w:fill="FFFFFF" w:themeFill="background1"/>
        <w:autoSpaceDE w:val="0"/>
        <w:autoSpaceDN w:val="0"/>
        <w:adjustRightInd w:val="0"/>
        <w:spacing w:before="200" w:after="120" w:line="240" w:lineRule="auto"/>
        <w:jc w:val="left"/>
        <w:rPr>
          <w:rFonts w:ascii="Franklin Gothic Book" w:hAnsi="Franklin Gothic Book" w:cs="Calibri"/>
          <w:lang w:eastAsia="fr-FR" w:bidi="ar-SA"/>
        </w:rPr>
      </w:pPr>
      <w:r w:rsidRPr="68CBBC64">
        <w:rPr>
          <w:rFonts w:ascii="Franklin Gothic Book" w:hAnsi="Franklin Gothic Book" w:cs="Calibri"/>
          <w:lang w:eastAsia="fr-FR" w:bidi="ar-SA"/>
        </w:rPr>
        <w:t xml:space="preserve">The more flexible approach to EITI reporting is intended to ensure that disclosures are more timely and can help inform ongoing discussions on </w:t>
      </w:r>
      <w:r w:rsidR="003A2CE4">
        <w:rPr>
          <w:rFonts w:ascii="Franklin Gothic Book" w:hAnsi="Franklin Gothic Book" w:cs="Calibri"/>
          <w:lang w:eastAsia="fr-FR" w:bidi="ar-SA"/>
        </w:rPr>
        <w:t xml:space="preserve">the governance of the extractive industries, including </w:t>
      </w:r>
      <w:r w:rsidRPr="68CBBC64">
        <w:rPr>
          <w:rFonts w:ascii="Franklin Gothic Book" w:hAnsi="Franklin Gothic Book" w:cs="Calibri"/>
          <w:lang w:eastAsia="fr-FR" w:bidi="ar-SA"/>
        </w:rPr>
        <w:t xml:space="preserve">the impact of </w:t>
      </w:r>
      <w:r w:rsidR="00B77580">
        <w:rPr>
          <w:rFonts w:ascii="Franklin Gothic Book" w:hAnsi="Franklin Gothic Book" w:cs="Calibri"/>
          <w:lang w:eastAsia="fr-FR" w:bidi="ar-SA"/>
        </w:rPr>
        <w:t>or recovery from</w:t>
      </w:r>
      <w:r w:rsidRPr="68CBBC64">
        <w:rPr>
          <w:rFonts w:ascii="Franklin Gothic Book" w:hAnsi="Franklin Gothic Book" w:cs="Calibri"/>
          <w:lang w:eastAsia="fr-FR" w:bidi="ar-SA"/>
        </w:rPr>
        <w:t xml:space="preserve"> the C</w:t>
      </w:r>
      <w:r w:rsidR="22E9597F" w:rsidRPr="68CBBC64">
        <w:rPr>
          <w:rFonts w:ascii="Franklin Gothic Book" w:hAnsi="Franklin Gothic Book" w:cs="Calibri"/>
          <w:lang w:eastAsia="fr-FR" w:bidi="ar-SA"/>
        </w:rPr>
        <w:t>ovid</w:t>
      </w:r>
      <w:r w:rsidRPr="68CBBC64">
        <w:rPr>
          <w:rFonts w:ascii="Franklin Gothic Book" w:hAnsi="Franklin Gothic Book" w:cs="Calibri"/>
          <w:lang w:eastAsia="fr-FR" w:bidi="ar-SA"/>
        </w:rPr>
        <w:t>-19 pandemic,</w:t>
      </w:r>
      <w:r w:rsidR="00317914">
        <w:rPr>
          <w:rFonts w:ascii="Franklin Gothic Book" w:hAnsi="Franklin Gothic Book" w:cs="Calibri"/>
          <w:lang w:eastAsia="fr-FR" w:bidi="ar-SA"/>
        </w:rPr>
        <w:t xml:space="preserve"> the implications of</w:t>
      </w:r>
      <w:r w:rsidRPr="68CBBC64">
        <w:rPr>
          <w:rFonts w:ascii="Franklin Gothic Book" w:hAnsi="Franklin Gothic Book" w:cs="Calibri"/>
          <w:lang w:eastAsia="fr-FR" w:bidi="ar-SA"/>
        </w:rPr>
        <w:t xml:space="preserve"> </w:t>
      </w:r>
      <w:r w:rsidR="003A2CE4">
        <w:rPr>
          <w:rFonts w:ascii="Franklin Gothic Book" w:hAnsi="Franklin Gothic Book" w:cs="Calibri"/>
          <w:lang w:eastAsia="fr-FR" w:bidi="ar-SA"/>
        </w:rPr>
        <w:t xml:space="preserve">the energy transition </w:t>
      </w:r>
      <w:r w:rsidR="00317914">
        <w:rPr>
          <w:rFonts w:ascii="Franklin Gothic Book" w:hAnsi="Franklin Gothic Book" w:cs="Calibri"/>
          <w:lang w:eastAsia="fr-FR" w:bidi="ar-SA"/>
        </w:rPr>
        <w:t xml:space="preserve">or </w:t>
      </w:r>
      <w:r w:rsidR="003A2CE4">
        <w:rPr>
          <w:rFonts w:ascii="Franklin Gothic Book" w:hAnsi="Franklin Gothic Book" w:cs="Calibri"/>
          <w:lang w:eastAsia="fr-FR" w:bidi="ar-SA"/>
        </w:rPr>
        <w:t>other significant developments impacting the industry</w:t>
      </w:r>
      <w:r w:rsidRPr="68CBBC64">
        <w:rPr>
          <w:rFonts w:ascii="Franklin Gothic Book" w:hAnsi="Franklin Gothic Book" w:cs="Calibri"/>
          <w:lang w:eastAsia="fr-FR" w:bidi="ar-SA"/>
        </w:rPr>
        <w:t>.</w:t>
      </w:r>
      <w:r w:rsidR="006C0E8F" w:rsidRPr="68CBBC64">
        <w:rPr>
          <w:rFonts w:ascii="Franklin Gothic Book" w:hAnsi="Franklin Gothic Book" w:cs="Calibri"/>
          <w:lang w:eastAsia="fr-FR" w:bidi="ar-SA"/>
        </w:rPr>
        <w:t xml:space="preserve"> It allows countries to </w:t>
      </w:r>
      <w:r w:rsidRPr="68CBBC64">
        <w:rPr>
          <w:rFonts w:ascii="Franklin Gothic Book" w:hAnsi="Franklin Gothic Book" w:cs="Calibri"/>
          <w:lang w:eastAsia="fr-FR" w:bidi="ar-SA"/>
        </w:rPr>
        <w:t xml:space="preserve">deviate from the standard procedure for EITI reporting including reconciliation (Requirement 4.9.b) for reports published by 31 December </w:t>
      </w:r>
      <w:r w:rsidR="003A2CE4" w:rsidRPr="68CBBC64">
        <w:rPr>
          <w:rFonts w:ascii="Franklin Gothic Book" w:hAnsi="Franklin Gothic Book" w:cs="Calibri"/>
          <w:lang w:eastAsia="fr-FR" w:bidi="ar-SA"/>
        </w:rPr>
        <w:t>202</w:t>
      </w:r>
      <w:r w:rsidR="00B77580">
        <w:rPr>
          <w:rFonts w:ascii="Franklin Gothic Book" w:hAnsi="Franklin Gothic Book" w:cs="Calibri"/>
          <w:lang w:eastAsia="fr-FR" w:bidi="ar-SA"/>
        </w:rPr>
        <w:t>2</w:t>
      </w:r>
      <w:r w:rsidRPr="68CBBC64">
        <w:rPr>
          <w:rFonts w:ascii="Franklin Gothic Book" w:hAnsi="Franklin Gothic Book" w:cs="Calibri"/>
          <w:lang w:eastAsia="fr-FR" w:bidi="ar-SA"/>
        </w:rPr>
        <w:t xml:space="preserve">, by disclosing </w:t>
      </w:r>
      <w:r w:rsidR="00281D13" w:rsidRPr="68CBBC64">
        <w:rPr>
          <w:rFonts w:ascii="Franklin Gothic Book" w:hAnsi="Franklin Gothic Book" w:cs="Calibri"/>
          <w:lang w:eastAsia="fr-FR" w:bidi="ar-SA"/>
        </w:rPr>
        <w:t xml:space="preserve">information relevant to inform ongoing discussions on the impact of these </w:t>
      </w:r>
      <w:r w:rsidR="00B77580">
        <w:rPr>
          <w:rFonts w:ascii="Franklin Gothic Book" w:hAnsi="Franklin Gothic Book" w:cs="Calibri"/>
          <w:lang w:eastAsia="fr-FR" w:bidi="ar-SA"/>
        </w:rPr>
        <w:t>events</w:t>
      </w:r>
      <w:r w:rsidRPr="68CBBC64">
        <w:rPr>
          <w:rFonts w:ascii="Franklin Gothic Book" w:hAnsi="Franklin Gothic Book" w:cs="Calibri"/>
          <w:lang w:eastAsia="fr-FR" w:bidi="ar-SA"/>
        </w:rPr>
        <w:t>.</w:t>
      </w:r>
      <w:r w:rsidR="005E4DA1">
        <w:rPr>
          <w:rFonts w:ascii="Franklin Gothic Book" w:hAnsi="Franklin Gothic Book" w:cs="Calibri"/>
          <w:lang w:eastAsia="fr-FR" w:bidi="ar-SA"/>
        </w:rPr>
        <w:t xml:space="preserve"> The EITI’s 2021 Validation model supports </w:t>
      </w:r>
      <w:r w:rsidR="006F706B">
        <w:rPr>
          <w:rFonts w:ascii="Franklin Gothic Book" w:hAnsi="Franklin Gothic Book" w:cs="Calibri"/>
          <w:lang w:eastAsia="fr-FR" w:bidi="ar-SA"/>
        </w:rPr>
        <w:t xml:space="preserve">MSGs playing a leading role in EITI disclosures by requiring them to prepare </w:t>
      </w:r>
      <w:r w:rsidR="00904637">
        <w:rPr>
          <w:rFonts w:ascii="Franklin Gothic Book" w:hAnsi="Franklin Gothic Book" w:cs="Calibri"/>
          <w:lang w:eastAsia="fr-FR" w:bidi="ar-SA"/>
        </w:rPr>
        <w:t>a data collection template on Transparency, covering Requirements 2-6 of the EITI Standard, that builds on existing systematic disclosures.</w:t>
      </w:r>
      <w:r w:rsidR="00FB6A1A">
        <w:rPr>
          <w:rStyle w:val="FootnoteReference"/>
          <w:rFonts w:ascii="Franklin Gothic Book" w:hAnsi="Franklin Gothic Book" w:cs="Calibri"/>
          <w:lang w:eastAsia="fr-FR" w:bidi="ar-SA"/>
        </w:rPr>
        <w:footnoteReference w:id="3"/>
      </w:r>
      <w:r w:rsidR="00904637">
        <w:rPr>
          <w:rFonts w:ascii="Franklin Gothic Book" w:hAnsi="Franklin Gothic Book" w:cs="Calibri"/>
          <w:lang w:eastAsia="fr-FR" w:bidi="ar-SA"/>
        </w:rPr>
        <w:t xml:space="preserve"> The data collection template on Transparency provides a tool for the MSG’s oversight of disclosures beyond Validation</w:t>
      </w:r>
      <w:r w:rsidR="00C24005">
        <w:rPr>
          <w:rFonts w:ascii="Franklin Gothic Book" w:hAnsi="Franklin Gothic Book" w:cs="Calibri"/>
          <w:lang w:eastAsia="fr-FR" w:bidi="ar-SA"/>
        </w:rPr>
        <w:t xml:space="preserve">. </w:t>
      </w:r>
    </w:p>
    <w:p w14:paraId="4C68D0C8" w14:textId="2C22C473" w:rsidR="006C0E8F" w:rsidRPr="006C0E8F" w:rsidRDefault="006C0E8F" w:rsidP="006C0E8F">
      <w:pPr>
        <w:shd w:val="clear" w:color="auto" w:fill="FFFFFF"/>
        <w:autoSpaceDE w:val="0"/>
        <w:autoSpaceDN w:val="0"/>
        <w:adjustRightInd w:val="0"/>
        <w:spacing w:before="240" w:after="240" w:line="240" w:lineRule="auto"/>
        <w:jc w:val="left"/>
        <w:rPr>
          <w:rFonts w:ascii="Franklin Gothic Book" w:hAnsi="Franklin Gothic Book" w:cs="Calibri"/>
          <w:bCs/>
          <w:lang w:eastAsia="fr-FR" w:bidi="ar-SA"/>
        </w:rPr>
      </w:pPr>
      <w:r w:rsidRPr="006C0E8F">
        <w:rPr>
          <w:rFonts w:ascii="Franklin Gothic Book" w:hAnsi="Franklin Gothic Book" w:cs="Calibri"/>
          <w:bCs/>
          <w:lang w:eastAsia="fr-FR" w:bidi="ar-SA"/>
        </w:rPr>
        <w:lastRenderedPageBreak/>
        <w:t xml:space="preserve">The TOR includes sections </w:t>
      </w:r>
      <w:r w:rsidRPr="006C0E8F">
        <w:rPr>
          <w:rFonts w:ascii="Franklin Gothic Book" w:hAnsi="Franklin Gothic Book" w:cs="Calibri"/>
          <w:bCs/>
          <w:color w:val="00B0F0"/>
          <w:lang w:eastAsia="fr-FR" w:bidi="ar-SA"/>
        </w:rPr>
        <w:t xml:space="preserve">[bracketed </w:t>
      </w:r>
      <w:r w:rsidR="00596B85">
        <w:rPr>
          <w:rFonts w:ascii="Franklin Gothic Book" w:hAnsi="Franklin Gothic Book" w:cs="Calibri"/>
          <w:bCs/>
          <w:color w:val="00B0F0"/>
          <w:lang w:eastAsia="fr-FR" w:bidi="ar-SA"/>
        </w:rPr>
        <w:t>and</w:t>
      </w:r>
      <w:r w:rsidRPr="006C0E8F">
        <w:rPr>
          <w:rFonts w:ascii="Franklin Gothic Book" w:hAnsi="Franklin Gothic Book" w:cs="Calibri"/>
          <w:bCs/>
          <w:color w:val="00B0F0"/>
          <w:lang w:eastAsia="fr-FR" w:bidi="ar-SA"/>
        </w:rPr>
        <w:t xml:space="preserve"> highlighted in blue]</w:t>
      </w:r>
      <w:r w:rsidRPr="006C0E8F">
        <w:rPr>
          <w:rFonts w:ascii="Franklin Gothic Book" w:hAnsi="Franklin Gothic Book" w:cs="Calibri"/>
          <w:bCs/>
          <w:lang w:eastAsia="fr-FR" w:bidi="ar-SA"/>
        </w:rPr>
        <w:t xml:space="preserve"> that should be completed by the MSG in order to adapt the TOR to the specific circumstances in the country. </w:t>
      </w:r>
    </w:p>
    <w:p w14:paraId="62CA2D7D" w14:textId="0C966F01" w:rsidR="00E010FF" w:rsidRPr="00FD1ABC" w:rsidRDefault="00E010FF" w:rsidP="00087E80">
      <w:pPr>
        <w:pStyle w:val="Heading1"/>
        <w:rPr>
          <w:rFonts w:ascii="Franklin Gothic Book" w:hAnsi="Franklin Gothic Book"/>
          <w:lang w:eastAsia="fr-FR" w:bidi="ar-SA"/>
        </w:rPr>
      </w:pPr>
      <w:bookmarkStart w:id="6" w:name="_Toc420357364"/>
      <w:bookmarkStart w:id="7" w:name="_Toc420357621"/>
      <w:bookmarkStart w:id="8" w:name="_Toc420362730"/>
      <w:bookmarkStart w:id="9" w:name="_Toc42596339"/>
      <w:r w:rsidRPr="00FD1ABC">
        <w:rPr>
          <w:rFonts w:ascii="Franklin Gothic Book" w:hAnsi="Franklin Gothic Book"/>
          <w:lang w:eastAsia="fr-FR" w:bidi="ar-SA"/>
        </w:rPr>
        <w:t>Objectives</w:t>
      </w:r>
      <w:r w:rsidR="004F652B" w:rsidRPr="00FD1ABC">
        <w:rPr>
          <w:rFonts w:ascii="Franklin Gothic Book" w:hAnsi="Franklin Gothic Book"/>
          <w:lang w:eastAsia="fr-FR" w:bidi="ar-SA"/>
        </w:rPr>
        <w:t xml:space="preserve"> </w:t>
      </w:r>
      <w:r w:rsidR="00EF3675">
        <w:rPr>
          <w:rFonts w:ascii="Franklin Gothic Book" w:hAnsi="Franklin Gothic Book"/>
          <w:lang w:eastAsia="fr-FR" w:bidi="ar-SA"/>
        </w:rPr>
        <w:t xml:space="preserve">and expectations </w:t>
      </w:r>
      <w:r w:rsidR="004F652B" w:rsidRPr="00FD1ABC">
        <w:rPr>
          <w:rFonts w:ascii="Franklin Gothic Book" w:hAnsi="Franklin Gothic Book"/>
          <w:lang w:eastAsia="fr-FR" w:bidi="ar-SA"/>
        </w:rPr>
        <w:t xml:space="preserve">of </w:t>
      </w:r>
      <w:bookmarkEnd w:id="6"/>
      <w:bookmarkEnd w:id="7"/>
      <w:bookmarkEnd w:id="8"/>
      <w:r w:rsidR="007159AA">
        <w:rPr>
          <w:rFonts w:ascii="Franklin Gothic Book" w:hAnsi="Franklin Gothic Book"/>
          <w:lang w:eastAsia="fr-FR" w:bidi="ar-SA"/>
        </w:rPr>
        <w:t>reporting</w:t>
      </w:r>
      <w:bookmarkEnd w:id="9"/>
    </w:p>
    <w:p w14:paraId="60CD7D0F" w14:textId="4A52B437" w:rsidR="006C0E8F" w:rsidRDefault="00E010FF" w:rsidP="68CBBC64">
      <w:pPr>
        <w:widowControl w:val="0"/>
        <w:shd w:val="clear" w:color="auto" w:fill="FFFFFF" w:themeFill="background1"/>
        <w:suppressAutoHyphens/>
        <w:autoSpaceDE w:val="0"/>
        <w:autoSpaceDN w:val="0"/>
        <w:adjustRightInd w:val="0"/>
        <w:spacing w:before="240" w:after="240" w:line="240" w:lineRule="auto"/>
        <w:jc w:val="left"/>
        <w:rPr>
          <w:rFonts w:ascii="Franklin Gothic Book" w:hAnsi="Franklin Gothic Book" w:cs="Calibri"/>
          <w:lang w:bidi="ar-SA"/>
        </w:rPr>
      </w:pPr>
      <w:r w:rsidRPr="68CBBC64">
        <w:rPr>
          <w:rFonts w:ascii="Franklin Gothic Book" w:hAnsi="Franklin Gothic Book" w:cs="Calibri"/>
          <w:lang w:bidi="ar-SA"/>
        </w:rPr>
        <w:t xml:space="preserve">The </w:t>
      </w:r>
      <w:r w:rsidR="006C0E8F" w:rsidRPr="68CBBC64">
        <w:rPr>
          <w:rFonts w:ascii="Franklin Gothic Book" w:hAnsi="Franklin Gothic Book" w:cs="Calibri"/>
          <w:lang w:bidi="ar-SA"/>
        </w:rPr>
        <w:t xml:space="preserve">MSG </w:t>
      </w:r>
      <w:r w:rsidR="00721940" w:rsidRPr="68CBBC64">
        <w:rPr>
          <w:rFonts w:ascii="Franklin Gothic Book" w:hAnsi="Franklin Gothic Book" w:cs="Calibri"/>
          <w:lang w:bidi="ar-SA"/>
        </w:rPr>
        <w:t>could</w:t>
      </w:r>
      <w:r w:rsidR="006C0E8F" w:rsidRPr="68CBBC64">
        <w:rPr>
          <w:rFonts w:ascii="Franklin Gothic Book" w:hAnsi="Franklin Gothic Book" w:cs="Calibri"/>
          <w:lang w:bidi="ar-SA"/>
        </w:rPr>
        <w:t xml:space="preserve"> </w:t>
      </w:r>
      <w:r w:rsidR="00721940" w:rsidRPr="68CBBC64">
        <w:rPr>
          <w:rFonts w:ascii="Franklin Gothic Book" w:hAnsi="Franklin Gothic Book" w:cs="Calibri"/>
          <w:lang w:bidi="ar-SA"/>
        </w:rPr>
        <w:t xml:space="preserve">consider </w:t>
      </w:r>
      <w:r w:rsidR="006C0E8F" w:rsidRPr="68CBBC64">
        <w:rPr>
          <w:rFonts w:ascii="Franklin Gothic Book" w:hAnsi="Franklin Gothic Book" w:cs="Calibri"/>
          <w:lang w:bidi="ar-SA"/>
        </w:rPr>
        <w:t>agree</w:t>
      </w:r>
      <w:r w:rsidR="00721940" w:rsidRPr="68CBBC64">
        <w:rPr>
          <w:rFonts w:ascii="Franklin Gothic Book" w:hAnsi="Franklin Gothic Book" w:cs="Calibri"/>
          <w:lang w:bidi="ar-SA"/>
        </w:rPr>
        <w:t>ing</w:t>
      </w:r>
      <w:r w:rsidR="006C0E8F" w:rsidRPr="68CBBC64">
        <w:rPr>
          <w:rFonts w:ascii="Franklin Gothic Book" w:hAnsi="Franklin Gothic Book" w:cs="Calibri"/>
          <w:lang w:bidi="ar-SA"/>
        </w:rPr>
        <w:t xml:space="preserve"> </w:t>
      </w:r>
      <w:r w:rsidR="00721940" w:rsidRPr="68CBBC64">
        <w:rPr>
          <w:rFonts w:ascii="Franklin Gothic Book" w:hAnsi="Franklin Gothic Book" w:cs="Calibri"/>
          <w:lang w:bidi="ar-SA"/>
        </w:rPr>
        <w:t xml:space="preserve">reporting </w:t>
      </w:r>
      <w:r w:rsidR="006C0E8F" w:rsidRPr="68CBBC64">
        <w:rPr>
          <w:rFonts w:ascii="Franklin Gothic Book" w:hAnsi="Franklin Gothic Book" w:cs="Calibri"/>
          <w:lang w:bidi="ar-SA"/>
        </w:rPr>
        <w:t>objectives that reflect national priorities for the extractive industries</w:t>
      </w:r>
      <w:r w:rsidR="00721940" w:rsidRPr="68CBBC64">
        <w:rPr>
          <w:rFonts w:ascii="Franklin Gothic Book" w:hAnsi="Franklin Gothic Book" w:cs="Calibri"/>
          <w:lang w:bidi="ar-SA"/>
        </w:rPr>
        <w:t xml:space="preserve"> and are in line with their work plans</w:t>
      </w:r>
      <w:r w:rsidR="006C0E8F" w:rsidRPr="68CBBC64">
        <w:rPr>
          <w:rFonts w:ascii="Franklin Gothic Book" w:hAnsi="Franklin Gothic Book" w:cs="Calibri"/>
          <w:lang w:bidi="ar-SA"/>
        </w:rPr>
        <w:t>, to ensure that it can help facilitate efforts to undertake sound policy decisions and informed public debate</w:t>
      </w:r>
      <w:r w:rsidR="004050EE" w:rsidRPr="68CBBC64">
        <w:rPr>
          <w:rFonts w:ascii="Franklin Gothic Book" w:hAnsi="Franklin Gothic Book" w:cs="Calibri"/>
          <w:lang w:bidi="ar-SA"/>
        </w:rPr>
        <w:t xml:space="preserve"> (Phase 1)</w:t>
      </w:r>
      <w:r w:rsidR="006C0E8F" w:rsidRPr="68CBBC64">
        <w:rPr>
          <w:rFonts w:ascii="Franklin Gothic Book" w:hAnsi="Franklin Gothic Book" w:cs="Calibri"/>
          <w:lang w:bidi="ar-SA"/>
        </w:rPr>
        <w:t xml:space="preserve">. Some of these </w:t>
      </w:r>
      <w:r w:rsidR="00721940" w:rsidRPr="68CBBC64">
        <w:rPr>
          <w:rFonts w:ascii="Franklin Gothic Book" w:hAnsi="Franklin Gothic Book" w:cs="Calibri"/>
          <w:lang w:bidi="ar-SA"/>
        </w:rPr>
        <w:t xml:space="preserve">reporting </w:t>
      </w:r>
      <w:r w:rsidR="006C0E8F" w:rsidRPr="68CBBC64">
        <w:rPr>
          <w:rFonts w:ascii="Franklin Gothic Book" w:hAnsi="Franklin Gothic Book" w:cs="Calibri"/>
          <w:lang w:bidi="ar-SA"/>
        </w:rPr>
        <w:t>objectives could relate to</w:t>
      </w:r>
      <w:r w:rsidR="004050EE" w:rsidRPr="68CBBC64">
        <w:rPr>
          <w:rFonts w:ascii="Franklin Gothic Book" w:hAnsi="Franklin Gothic Book" w:cs="Calibri"/>
          <w:lang w:bidi="ar-SA"/>
        </w:rPr>
        <w:t xml:space="preserve"> providing timely and relevant information that can help inform ongoing discussions on measures to address the </w:t>
      </w:r>
      <w:r w:rsidR="00B77580">
        <w:rPr>
          <w:rFonts w:ascii="Franklin Gothic Book" w:hAnsi="Franklin Gothic Book" w:cs="Calibri"/>
          <w:lang w:bidi="ar-SA"/>
        </w:rPr>
        <w:t>impact of or recovery from the</w:t>
      </w:r>
      <w:r w:rsidR="004050EE" w:rsidRPr="68CBBC64">
        <w:rPr>
          <w:rFonts w:ascii="Franklin Gothic Book" w:hAnsi="Franklin Gothic Book" w:cs="Calibri"/>
          <w:lang w:bidi="ar-SA"/>
        </w:rPr>
        <w:t xml:space="preserve"> C</w:t>
      </w:r>
      <w:r w:rsidR="72654A06" w:rsidRPr="68CBBC64">
        <w:rPr>
          <w:rFonts w:ascii="Franklin Gothic Book" w:hAnsi="Franklin Gothic Book" w:cs="Calibri"/>
          <w:lang w:bidi="ar-SA"/>
        </w:rPr>
        <w:t>ovid</w:t>
      </w:r>
      <w:r w:rsidR="004050EE" w:rsidRPr="68CBBC64">
        <w:rPr>
          <w:rFonts w:ascii="Franklin Gothic Book" w:hAnsi="Franklin Gothic Book" w:cs="Calibri"/>
          <w:lang w:bidi="ar-SA"/>
        </w:rPr>
        <w:t>-19 pandemic</w:t>
      </w:r>
      <w:r w:rsidR="00B77580">
        <w:rPr>
          <w:rFonts w:ascii="Franklin Gothic Book" w:hAnsi="Franklin Gothic Book" w:cs="Calibri"/>
          <w:lang w:bidi="ar-SA"/>
        </w:rPr>
        <w:t xml:space="preserve"> or the implications of the energy transition</w:t>
      </w:r>
      <w:r w:rsidR="004050EE" w:rsidRPr="68CBBC64">
        <w:rPr>
          <w:rFonts w:ascii="Franklin Gothic Book" w:hAnsi="Franklin Gothic Book" w:cs="Calibri"/>
          <w:lang w:bidi="ar-SA"/>
        </w:rPr>
        <w:t xml:space="preserve">. </w:t>
      </w:r>
      <w:r w:rsidR="00BC2B43">
        <w:rPr>
          <w:rFonts w:ascii="Franklin Gothic Book" w:hAnsi="Franklin Gothic Book" w:cs="Calibri"/>
          <w:lang w:bidi="ar-SA"/>
        </w:rPr>
        <w:t xml:space="preserve">Drawing on </w:t>
      </w:r>
      <w:r w:rsidR="00601E7D">
        <w:rPr>
          <w:rFonts w:ascii="Franklin Gothic Book" w:hAnsi="Franklin Gothic Book" w:cs="Calibri"/>
          <w:lang w:bidi="ar-SA"/>
        </w:rPr>
        <w:t>and complementing systematically disclosed information, t</w:t>
      </w:r>
      <w:r w:rsidR="004050EE" w:rsidRPr="68CBBC64">
        <w:rPr>
          <w:rFonts w:ascii="Franklin Gothic Book" w:hAnsi="Franklin Gothic Book" w:cs="Calibri"/>
          <w:lang w:bidi="ar-SA"/>
        </w:rPr>
        <w:t xml:space="preserve">he </w:t>
      </w:r>
      <w:r w:rsidR="00601E7D">
        <w:rPr>
          <w:rFonts w:ascii="Franklin Gothic Book" w:hAnsi="Franklin Gothic Book" w:cs="Calibri"/>
          <w:lang w:bidi="ar-SA"/>
        </w:rPr>
        <w:t>reporting</w:t>
      </w:r>
      <w:r w:rsidR="004050EE" w:rsidRPr="68CBBC64">
        <w:rPr>
          <w:rFonts w:ascii="Franklin Gothic Book" w:hAnsi="Franklin Gothic Book" w:cs="Calibri"/>
          <w:lang w:bidi="ar-SA"/>
        </w:rPr>
        <w:t xml:space="preserve"> could aim at informing ongoing public debate related to revenue and tax collection, corruption risks, projected revenues and the broader sector outlook in the country.</w:t>
      </w:r>
      <w:r w:rsidR="009E446F" w:rsidRPr="009E446F">
        <w:rPr>
          <w:rFonts w:ascii="Franklin Gothic Book" w:hAnsi="Franklin Gothic Book" w:cs="Calibri"/>
          <w:lang w:bidi="ar-SA"/>
        </w:rPr>
        <w:t xml:space="preserve"> </w:t>
      </w:r>
    </w:p>
    <w:p w14:paraId="773EA3E1" w14:textId="6829FE5A" w:rsidR="00596B85" w:rsidRDefault="00596B85" w:rsidP="00596B85">
      <w:pPr>
        <w:widowControl w:val="0"/>
        <w:shd w:val="clear" w:color="auto" w:fill="FFFFFF"/>
        <w:suppressAutoHyphens/>
        <w:autoSpaceDE w:val="0"/>
        <w:autoSpaceDN w:val="0"/>
        <w:adjustRightInd w:val="0"/>
        <w:spacing w:before="240" w:after="240" w:line="240" w:lineRule="auto"/>
        <w:jc w:val="left"/>
        <w:rPr>
          <w:rFonts w:ascii="Franklin Gothic Book" w:hAnsi="Franklin Gothic Book" w:cs="Calibri"/>
          <w:lang w:bidi="ar-SA"/>
        </w:rPr>
      </w:pPr>
      <w:r>
        <w:rPr>
          <w:rFonts w:ascii="Franklin Gothic Book" w:hAnsi="Franklin Gothic Book" w:cs="Calibri"/>
          <w:lang w:bidi="ar-SA"/>
        </w:rPr>
        <w:t>The MSG should agree and specify how the reporting will be prepared and who will be responsible for the different phases set out below. The division of responsibilities and task will vary from country to country, depending on the capacities and resources available.</w:t>
      </w:r>
    </w:p>
    <w:p w14:paraId="26D62A9B" w14:textId="32E28A80" w:rsidR="00C97685" w:rsidRPr="00596B85" w:rsidRDefault="00596B85" w:rsidP="00C97685">
      <w:pPr>
        <w:widowControl w:val="0"/>
        <w:shd w:val="clear" w:color="auto" w:fill="FFFFFF"/>
        <w:suppressAutoHyphens/>
        <w:autoSpaceDE w:val="0"/>
        <w:autoSpaceDN w:val="0"/>
        <w:adjustRightInd w:val="0"/>
        <w:spacing w:before="240" w:after="240" w:line="240" w:lineRule="auto"/>
        <w:jc w:val="left"/>
        <w:rPr>
          <w:rFonts w:ascii="Franklin Gothic Book" w:hAnsi="Franklin Gothic Book" w:cs="Calibri"/>
          <w:lang w:bidi="ar-SA"/>
        </w:rPr>
      </w:pPr>
      <w:r w:rsidRPr="00596B85">
        <w:rPr>
          <w:rFonts w:ascii="Franklin Gothic Book" w:hAnsi="Franklin Gothic Book" w:cs="Calibri"/>
          <w:lang w:bidi="ar-SA"/>
        </w:rPr>
        <w:t xml:space="preserve">The </w:t>
      </w:r>
      <w:r w:rsidR="00C97685" w:rsidRPr="00596B85">
        <w:rPr>
          <w:rFonts w:ascii="Franklin Gothic Book" w:hAnsi="Franklin Gothic Book" w:cs="Calibri"/>
          <w:lang w:bidi="ar-SA"/>
        </w:rPr>
        <w:t>MSG is expected to</w:t>
      </w:r>
      <w:r w:rsidRPr="00596B85">
        <w:rPr>
          <w:rFonts w:ascii="Franklin Gothic Book" w:hAnsi="Franklin Gothic Book" w:cs="Calibri"/>
          <w:lang w:bidi="ar-SA"/>
        </w:rPr>
        <w:t>:</w:t>
      </w:r>
    </w:p>
    <w:p w14:paraId="012D41C5" w14:textId="77777777" w:rsidR="00C97685" w:rsidRPr="00596B85" w:rsidRDefault="00C97685" w:rsidP="00C97685">
      <w:pPr>
        <w:pStyle w:val="ListParagraph"/>
        <w:widowControl w:val="0"/>
        <w:numPr>
          <w:ilvl w:val="0"/>
          <w:numId w:val="34"/>
        </w:numPr>
        <w:shd w:val="clear" w:color="auto" w:fill="FFFFFF"/>
        <w:suppressAutoHyphens/>
        <w:autoSpaceDE w:val="0"/>
        <w:autoSpaceDN w:val="0"/>
        <w:adjustRightInd w:val="0"/>
        <w:spacing w:before="240" w:after="240" w:line="240" w:lineRule="auto"/>
        <w:jc w:val="left"/>
        <w:rPr>
          <w:rFonts w:ascii="Franklin Gothic Book" w:hAnsi="Franklin Gothic Book" w:cs="Calibri"/>
          <w:lang w:bidi="ar-SA"/>
        </w:rPr>
      </w:pPr>
      <w:r w:rsidRPr="00596B85">
        <w:rPr>
          <w:rFonts w:ascii="Franklin Gothic Book" w:hAnsi="Franklin Gothic Book" w:cs="Calibri"/>
          <w:lang w:bidi="ar-SA"/>
        </w:rPr>
        <w:t>Agree objectives and scope of reporting</w:t>
      </w:r>
    </w:p>
    <w:p w14:paraId="4040E4A7" w14:textId="77777777" w:rsidR="00C97685" w:rsidRPr="00596B85" w:rsidRDefault="00C97685" w:rsidP="00C97685">
      <w:pPr>
        <w:pStyle w:val="ListParagraph"/>
        <w:widowControl w:val="0"/>
        <w:numPr>
          <w:ilvl w:val="0"/>
          <w:numId w:val="34"/>
        </w:numPr>
        <w:shd w:val="clear" w:color="auto" w:fill="FFFFFF"/>
        <w:suppressAutoHyphens/>
        <w:autoSpaceDE w:val="0"/>
        <w:autoSpaceDN w:val="0"/>
        <w:adjustRightInd w:val="0"/>
        <w:spacing w:before="240" w:after="240" w:line="240" w:lineRule="auto"/>
        <w:jc w:val="left"/>
        <w:rPr>
          <w:rFonts w:ascii="Franklin Gothic Book" w:hAnsi="Franklin Gothic Book" w:cs="Calibri"/>
          <w:lang w:bidi="ar-SA"/>
        </w:rPr>
      </w:pPr>
      <w:r w:rsidRPr="00596B85">
        <w:rPr>
          <w:rFonts w:ascii="Franklin Gothic Book" w:hAnsi="Franklin Gothic Book" w:cs="Calibri"/>
          <w:lang w:bidi="ar-SA"/>
        </w:rPr>
        <w:t>Oversee and contribute to compiling, reviewing and analysing information collected</w:t>
      </w:r>
    </w:p>
    <w:p w14:paraId="1490BC74" w14:textId="493890F5" w:rsidR="00C97685" w:rsidRDefault="00596B85" w:rsidP="00C97685">
      <w:pPr>
        <w:pStyle w:val="ListParagraph"/>
        <w:widowControl w:val="0"/>
        <w:numPr>
          <w:ilvl w:val="0"/>
          <w:numId w:val="34"/>
        </w:numPr>
        <w:shd w:val="clear" w:color="auto" w:fill="FFFFFF"/>
        <w:suppressAutoHyphens/>
        <w:autoSpaceDE w:val="0"/>
        <w:autoSpaceDN w:val="0"/>
        <w:adjustRightInd w:val="0"/>
        <w:spacing w:before="240" w:after="240" w:line="240" w:lineRule="auto"/>
        <w:jc w:val="left"/>
        <w:rPr>
          <w:rFonts w:ascii="Franklin Gothic Book" w:hAnsi="Franklin Gothic Book" w:cs="Calibri"/>
          <w:lang w:bidi="ar-SA"/>
        </w:rPr>
      </w:pPr>
      <w:r>
        <w:rPr>
          <w:rFonts w:ascii="Franklin Gothic Book" w:hAnsi="Franklin Gothic Book" w:cs="Calibri"/>
          <w:lang w:bidi="ar-SA"/>
        </w:rPr>
        <w:t>Provide an a</w:t>
      </w:r>
      <w:r w:rsidR="00C97685" w:rsidRPr="00596B85">
        <w:rPr>
          <w:rFonts w:ascii="Franklin Gothic Book" w:hAnsi="Franklin Gothic Book" w:cs="Calibri"/>
          <w:lang w:bidi="ar-SA"/>
        </w:rPr>
        <w:t>ssess</w:t>
      </w:r>
      <w:r>
        <w:rPr>
          <w:rFonts w:ascii="Franklin Gothic Book" w:hAnsi="Franklin Gothic Book" w:cs="Calibri"/>
          <w:lang w:bidi="ar-SA"/>
        </w:rPr>
        <w:t xml:space="preserve">ment of the </w:t>
      </w:r>
      <w:r w:rsidR="00C97685" w:rsidRPr="00596B85">
        <w:rPr>
          <w:rFonts w:ascii="Franklin Gothic Book" w:hAnsi="Franklin Gothic Book" w:cs="Calibri"/>
          <w:lang w:bidi="ar-SA"/>
        </w:rPr>
        <w:t xml:space="preserve">quality </w:t>
      </w:r>
      <w:r>
        <w:rPr>
          <w:rFonts w:ascii="Franklin Gothic Book" w:hAnsi="Franklin Gothic Book" w:cs="Calibri"/>
          <w:lang w:bidi="ar-SA"/>
        </w:rPr>
        <w:t xml:space="preserve">and reliability </w:t>
      </w:r>
      <w:r w:rsidR="00C97685" w:rsidRPr="00596B85">
        <w:rPr>
          <w:rFonts w:ascii="Franklin Gothic Book" w:hAnsi="Franklin Gothic Book" w:cs="Calibri"/>
          <w:lang w:bidi="ar-SA"/>
        </w:rPr>
        <w:t xml:space="preserve">of </w:t>
      </w:r>
      <w:r>
        <w:rPr>
          <w:rFonts w:ascii="Franklin Gothic Book" w:hAnsi="Franklin Gothic Book" w:cs="Calibri"/>
          <w:lang w:bidi="ar-SA"/>
        </w:rPr>
        <w:t>the disclosures</w:t>
      </w:r>
    </w:p>
    <w:p w14:paraId="1A1DD5AE" w14:textId="6952BF7B" w:rsidR="00596B85" w:rsidRPr="00596B85" w:rsidRDefault="00596B85" w:rsidP="00596B85">
      <w:pPr>
        <w:pStyle w:val="ListParagraph"/>
        <w:numPr>
          <w:ilvl w:val="0"/>
          <w:numId w:val="34"/>
        </w:numPr>
        <w:shd w:val="clear" w:color="auto" w:fill="FFFFFF"/>
        <w:autoSpaceDE w:val="0"/>
        <w:autoSpaceDN w:val="0"/>
        <w:adjustRightInd w:val="0"/>
        <w:spacing w:before="240" w:after="240" w:line="240" w:lineRule="auto"/>
        <w:jc w:val="left"/>
        <w:rPr>
          <w:rFonts w:ascii="Franklin Gothic Book" w:hAnsi="Franklin Gothic Book" w:cs="Calibri"/>
          <w:bCs/>
          <w:color w:val="00B0F0"/>
          <w:lang w:eastAsia="fr-FR" w:bidi="ar-SA"/>
        </w:rPr>
      </w:pPr>
      <w:r w:rsidRPr="006C0E8F">
        <w:rPr>
          <w:rFonts w:ascii="Franklin Gothic Book" w:hAnsi="Franklin Gothic Book" w:cs="Calibri"/>
          <w:bCs/>
          <w:color w:val="00B0F0"/>
          <w:lang w:eastAsia="fr-FR" w:bidi="ar-SA"/>
        </w:rPr>
        <w:t>[</w:t>
      </w:r>
      <w:r>
        <w:rPr>
          <w:rFonts w:ascii="Franklin Gothic Book" w:hAnsi="Franklin Gothic Book" w:cs="Calibri"/>
          <w:bCs/>
          <w:color w:val="00B0F0"/>
          <w:lang w:eastAsia="fr-FR" w:bidi="ar-SA"/>
        </w:rPr>
        <w:t>Any other responsibilities or activities should be added here</w:t>
      </w:r>
      <w:r w:rsidRPr="006C0E8F">
        <w:rPr>
          <w:rFonts w:ascii="Franklin Gothic Book" w:hAnsi="Franklin Gothic Book" w:cs="Calibri"/>
          <w:bCs/>
          <w:color w:val="00B0F0"/>
          <w:lang w:eastAsia="fr-FR" w:bidi="ar-SA"/>
        </w:rPr>
        <w:t>.]</w:t>
      </w:r>
    </w:p>
    <w:p w14:paraId="154ABD9A" w14:textId="4883CC28" w:rsidR="00D145EC" w:rsidRPr="00596B85" w:rsidRDefault="00596B85" w:rsidP="00C97685">
      <w:pPr>
        <w:widowControl w:val="0"/>
        <w:shd w:val="clear" w:color="auto" w:fill="FFFFFF"/>
        <w:suppressAutoHyphens/>
        <w:autoSpaceDE w:val="0"/>
        <w:autoSpaceDN w:val="0"/>
        <w:adjustRightInd w:val="0"/>
        <w:spacing w:before="240" w:after="240" w:line="240" w:lineRule="auto"/>
        <w:jc w:val="left"/>
        <w:rPr>
          <w:rFonts w:ascii="Franklin Gothic Book" w:hAnsi="Franklin Gothic Book" w:cs="Calibri"/>
          <w:lang w:bidi="ar-SA"/>
        </w:rPr>
      </w:pPr>
      <w:r>
        <w:rPr>
          <w:rFonts w:ascii="Franklin Gothic Book" w:hAnsi="Franklin Gothic Book" w:cs="Calibri"/>
          <w:lang w:bidi="ar-SA"/>
        </w:rPr>
        <w:t>The national secretariat may be expected to:</w:t>
      </w:r>
    </w:p>
    <w:p w14:paraId="7D24FCEC" w14:textId="2375465C" w:rsidR="00D145EC" w:rsidRPr="004050EE" w:rsidRDefault="00D145EC" w:rsidP="004050EE">
      <w:pPr>
        <w:pStyle w:val="ListParagraph"/>
        <w:numPr>
          <w:ilvl w:val="0"/>
          <w:numId w:val="34"/>
        </w:numPr>
        <w:shd w:val="clear" w:color="auto" w:fill="FFFFFF"/>
        <w:autoSpaceDE w:val="0"/>
        <w:autoSpaceDN w:val="0"/>
        <w:adjustRightInd w:val="0"/>
        <w:spacing w:before="240" w:after="240" w:line="240" w:lineRule="auto"/>
        <w:jc w:val="left"/>
        <w:rPr>
          <w:rFonts w:ascii="Franklin Gothic Book" w:hAnsi="Franklin Gothic Book" w:cs="Calibri"/>
          <w:bCs/>
          <w:lang w:eastAsia="fr-FR" w:bidi="ar-SA"/>
        </w:rPr>
      </w:pPr>
      <w:r w:rsidRPr="004050EE">
        <w:rPr>
          <w:rFonts w:ascii="Franklin Gothic Book" w:hAnsi="Franklin Gothic Book" w:cs="Calibri"/>
          <w:bCs/>
          <w:lang w:eastAsia="fr-FR" w:bidi="ar-SA"/>
        </w:rPr>
        <w:t>Support the MSG in compiling, reviewing and analysing information collected from government and company reporting entities</w:t>
      </w:r>
      <w:r w:rsidR="00F94194">
        <w:rPr>
          <w:rFonts w:ascii="Franklin Gothic Book" w:hAnsi="Franklin Gothic Book" w:cs="Calibri"/>
          <w:bCs/>
          <w:lang w:eastAsia="fr-FR" w:bidi="ar-SA"/>
        </w:rPr>
        <w:t xml:space="preserve">. The secretariat may use </w:t>
      </w:r>
      <w:r w:rsidR="00F94194" w:rsidRPr="00F94194">
        <w:rPr>
          <w:rFonts w:ascii="Franklin Gothic Book" w:hAnsi="Franklin Gothic Book" w:cs="Calibri"/>
          <w:bCs/>
          <w:lang w:eastAsia="fr-FR" w:bidi="ar-SA"/>
        </w:rPr>
        <w:t>the Validation data collection template on Transparency as a tool for systematically mapping systematic disclosures</w:t>
      </w:r>
      <w:r w:rsidR="00F94194">
        <w:rPr>
          <w:rFonts w:ascii="Franklin Gothic Book" w:hAnsi="Franklin Gothic Book" w:cs="Calibri"/>
          <w:color w:val="00B0F0"/>
          <w:lang w:bidi="ar-SA"/>
        </w:rPr>
        <w:t>.</w:t>
      </w:r>
    </w:p>
    <w:p w14:paraId="2411C5DD" w14:textId="24983FDC" w:rsidR="00596B85" w:rsidRDefault="004050EE" w:rsidP="00596B85">
      <w:pPr>
        <w:pStyle w:val="ListParagraph"/>
        <w:numPr>
          <w:ilvl w:val="0"/>
          <w:numId w:val="34"/>
        </w:numPr>
        <w:shd w:val="clear" w:color="auto" w:fill="FFFFFF"/>
        <w:autoSpaceDE w:val="0"/>
        <w:autoSpaceDN w:val="0"/>
        <w:adjustRightInd w:val="0"/>
        <w:spacing w:before="240" w:after="240" w:line="240" w:lineRule="auto"/>
        <w:jc w:val="left"/>
        <w:rPr>
          <w:rFonts w:ascii="Franklin Gothic Book" w:hAnsi="Franklin Gothic Book" w:cs="Calibri"/>
          <w:bCs/>
          <w:color w:val="00B0F0"/>
          <w:lang w:eastAsia="fr-FR" w:bidi="ar-SA"/>
        </w:rPr>
      </w:pPr>
      <w:r w:rsidRPr="006C0E8F">
        <w:rPr>
          <w:rFonts w:ascii="Franklin Gothic Book" w:hAnsi="Franklin Gothic Book" w:cs="Calibri"/>
          <w:bCs/>
          <w:color w:val="00B0F0"/>
          <w:lang w:eastAsia="fr-FR" w:bidi="ar-SA"/>
        </w:rPr>
        <w:t>[</w:t>
      </w:r>
      <w:r>
        <w:rPr>
          <w:rFonts w:ascii="Franklin Gothic Book" w:hAnsi="Franklin Gothic Book" w:cs="Calibri"/>
          <w:bCs/>
          <w:color w:val="00B0F0"/>
          <w:lang w:eastAsia="fr-FR" w:bidi="ar-SA"/>
        </w:rPr>
        <w:t>In cases where national secretariat will be preparing reporting, the expected tasks should be listed here. The International Secretariat will be available to provide technical assistance to national secretariats and MSGs.</w:t>
      </w:r>
    </w:p>
    <w:p w14:paraId="7D6BF1EF" w14:textId="366DE4EB" w:rsidR="004050EE" w:rsidRPr="00596B85" w:rsidRDefault="004050EE" w:rsidP="00596B85">
      <w:pPr>
        <w:pStyle w:val="ListParagraph"/>
        <w:numPr>
          <w:ilvl w:val="0"/>
          <w:numId w:val="34"/>
        </w:numPr>
        <w:shd w:val="clear" w:color="auto" w:fill="FFFFFF"/>
        <w:autoSpaceDE w:val="0"/>
        <w:autoSpaceDN w:val="0"/>
        <w:adjustRightInd w:val="0"/>
        <w:spacing w:before="240" w:after="240" w:line="240" w:lineRule="auto"/>
        <w:jc w:val="left"/>
        <w:rPr>
          <w:rFonts w:ascii="Franklin Gothic Book" w:hAnsi="Franklin Gothic Book" w:cs="Calibri"/>
          <w:bCs/>
          <w:color w:val="00B0F0"/>
          <w:lang w:eastAsia="fr-FR" w:bidi="ar-SA"/>
        </w:rPr>
      </w:pPr>
      <w:r>
        <w:rPr>
          <w:rFonts w:ascii="Franklin Gothic Book" w:hAnsi="Franklin Gothic Book" w:cs="Calibri"/>
          <w:bCs/>
          <w:color w:val="00B0F0"/>
          <w:lang w:eastAsia="fr-FR" w:bidi="ar-SA"/>
        </w:rPr>
        <w:t>Any other responsibilities or activities should be added here</w:t>
      </w:r>
      <w:r w:rsidRPr="006C0E8F">
        <w:rPr>
          <w:rFonts w:ascii="Franklin Gothic Book" w:hAnsi="Franklin Gothic Book" w:cs="Calibri"/>
          <w:bCs/>
          <w:color w:val="00B0F0"/>
          <w:lang w:eastAsia="fr-FR" w:bidi="ar-SA"/>
        </w:rPr>
        <w:t>]</w:t>
      </w:r>
    </w:p>
    <w:p w14:paraId="397B1B9C" w14:textId="132349D3" w:rsidR="00D145EC" w:rsidRPr="00596B85" w:rsidRDefault="00596B85" w:rsidP="00C97685">
      <w:pPr>
        <w:widowControl w:val="0"/>
        <w:shd w:val="clear" w:color="auto" w:fill="FFFFFF"/>
        <w:suppressAutoHyphens/>
        <w:autoSpaceDE w:val="0"/>
        <w:autoSpaceDN w:val="0"/>
        <w:adjustRightInd w:val="0"/>
        <w:spacing w:before="240" w:after="240" w:line="240" w:lineRule="auto"/>
        <w:jc w:val="left"/>
        <w:rPr>
          <w:rFonts w:ascii="Franklin Gothic Book" w:hAnsi="Franklin Gothic Book" w:cs="Calibri"/>
          <w:lang w:bidi="ar-SA"/>
        </w:rPr>
      </w:pPr>
      <w:r>
        <w:rPr>
          <w:rFonts w:ascii="Franklin Gothic Book" w:hAnsi="Franklin Gothic Book" w:cs="Calibri"/>
          <w:lang w:bidi="ar-SA"/>
        </w:rPr>
        <w:t xml:space="preserve">If the MSG </w:t>
      </w:r>
      <w:r w:rsidR="004050EE">
        <w:rPr>
          <w:rFonts w:ascii="Franklin Gothic Book" w:hAnsi="Franklin Gothic Book" w:cs="Calibri"/>
          <w:lang w:bidi="ar-SA"/>
        </w:rPr>
        <w:t xml:space="preserve">has </w:t>
      </w:r>
      <w:r>
        <w:rPr>
          <w:rFonts w:ascii="Franklin Gothic Book" w:hAnsi="Franklin Gothic Book" w:cs="Calibri"/>
          <w:lang w:bidi="ar-SA"/>
        </w:rPr>
        <w:t>decided to procure consultancy services, the consultant may be expected to:</w:t>
      </w:r>
    </w:p>
    <w:p w14:paraId="6E42DCA7" w14:textId="731B54F1" w:rsidR="00D145EC" w:rsidRDefault="00D145EC" w:rsidP="00C97685">
      <w:pPr>
        <w:pStyle w:val="ListParagraph"/>
        <w:widowControl w:val="0"/>
        <w:numPr>
          <w:ilvl w:val="0"/>
          <w:numId w:val="34"/>
        </w:numPr>
        <w:shd w:val="clear" w:color="auto" w:fill="FFFFFF"/>
        <w:suppressAutoHyphens/>
        <w:autoSpaceDE w:val="0"/>
        <w:autoSpaceDN w:val="0"/>
        <w:adjustRightInd w:val="0"/>
        <w:spacing w:before="240" w:after="240" w:line="240" w:lineRule="auto"/>
        <w:jc w:val="left"/>
        <w:rPr>
          <w:rFonts w:ascii="Franklin Gothic Book" w:hAnsi="Franklin Gothic Book" w:cs="Calibri"/>
          <w:color w:val="00B0F0"/>
          <w:lang w:bidi="ar-SA"/>
        </w:rPr>
      </w:pPr>
      <w:r w:rsidRPr="00596B85">
        <w:rPr>
          <w:rFonts w:ascii="Franklin Gothic Book" w:hAnsi="Franklin Gothic Book" w:cs="Calibri"/>
          <w:color w:val="00B0F0"/>
          <w:lang w:bidi="ar-SA"/>
        </w:rPr>
        <w:t>Support the MSG/national secretariat in compiling, reviewing and analysing information collected from government and company reporting entities</w:t>
      </w:r>
      <w:r w:rsidR="00B23FFB">
        <w:rPr>
          <w:rFonts w:ascii="Franklin Gothic Book" w:hAnsi="Franklin Gothic Book" w:cs="Calibri"/>
          <w:color w:val="00B0F0"/>
          <w:lang w:bidi="ar-SA"/>
        </w:rPr>
        <w:t xml:space="preserve">, using the Validation </w:t>
      </w:r>
      <w:r w:rsidR="00E9651F">
        <w:rPr>
          <w:rFonts w:ascii="Franklin Gothic Book" w:hAnsi="Franklin Gothic Book" w:cs="Calibri"/>
          <w:color w:val="00B0F0"/>
          <w:lang w:bidi="ar-SA"/>
        </w:rPr>
        <w:t xml:space="preserve">data collection </w:t>
      </w:r>
      <w:r w:rsidR="00B23FFB">
        <w:rPr>
          <w:rFonts w:ascii="Franklin Gothic Book" w:hAnsi="Franklin Gothic Book" w:cs="Calibri"/>
          <w:color w:val="00B0F0"/>
          <w:lang w:bidi="ar-SA"/>
        </w:rPr>
        <w:t xml:space="preserve">template on Transparency as a tool for systematically mapping systematic disclosures. </w:t>
      </w:r>
    </w:p>
    <w:p w14:paraId="097C0C42" w14:textId="5E449E46" w:rsidR="00596B85" w:rsidRPr="00596B85" w:rsidRDefault="00596B85" w:rsidP="00C97685">
      <w:pPr>
        <w:pStyle w:val="ListParagraph"/>
        <w:widowControl w:val="0"/>
        <w:numPr>
          <w:ilvl w:val="0"/>
          <w:numId w:val="34"/>
        </w:numPr>
        <w:shd w:val="clear" w:color="auto" w:fill="FFFFFF"/>
        <w:suppressAutoHyphens/>
        <w:autoSpaceDE w:val="0"/>
        <w:autoSpaceDN w:val="0"/>
        <w:adjustRightInd w:val="0"/>
        <w:spacing w:before="240" w:after="240" w:line="240" w:lineRule="auto"/>
        <w:jc w:val="left"/>
        <w:rPr>
          <w:rFonts w:ascii="Franklin Gothic Book" w:hAnsi="Franklin Gothic Book" w:cs="Calibri"/>
          <w:color w:val="00B0F0"/>
          <w:lang w:bidi="ar-SA"/>
        </w:rPr>
      </w:pPr>
      <w:r>
        <w:rPr>
          <w:rFonts w:ascii="Franklin Gothic Book" w:hAnsi="Franklin Gothic Book" w:cs="Calibri"/>
          <w:color w:val="00B0F0"/>
          <w:lang w:bidi="ar-SA"/>
        </w:rPr>
        <w:t>Prepare a draft and final report for the MSGs input and approval.</w:t>
      </w:r>
    </w:p>
    <w:p w14:paraId="5512D8BD" w14:textId="141DC61B" w:rsidR="00D145EC" w:rsidRPr="00596B85" w:rsidRDefault="00596B85" w:rsidP="00C97685">
      <w:pPr>
        <w:pStyle w:val="ListParagraph"/>
        <w:widowControl w:val="0"/>
        <w:numPr>
          <w:ilvl w:val="0"/>
          <w:numId w:val="34"/>
        </w:numPr>
        <w:shd w:val="clear" w:color="auto" w:fill="FFFFFF"/>
        <w:suppressAutoHyphens/>
        <w:autoSpaceDE w:val="0"/>
        <w:autoSpaceDN w:val="0"/>
        <w:adjustRightInd w:val="0"/>
        <w:spacing w:before="240" w:after="240" w:line="240" w:lineRule="auto"/>
        <w:jc w:val="left"/>
        <w:rPr>
          <w:rFonts w:ascii="Franklin Gothic Book" w:hAnsi="Franklin Gothic Book" w:cs="Calibri"/>
          <w:color w:val="00B0F0"/>
          <w:lang w:bidi="ar-SA"/>
        </w:rPr>
      </w:pPr>
      <w:r w:rsidRPr="00596B85">
        <w:rPr>
          <w:rFonts w:ascii="Franklin Gothic Book" w:hAnsi="Franklin Gothic Book" w:cs="Calibri"/>
          <w:color w:val="00B0F0"/>
          <w:lang w:bidi="ar-SA"/>
        </w:rPr>
        <w:t xml:space="preserve">Support the MSG/national secretariat </w:t>
      </w:r>
      <w:r>
        <w:rPr>
          <w:rFonts w:ascii="Franklin Gothic Book" w:hAnsi="Franklin Gothic Book" w:cs="Calibri"/>
          <w:color w:val="00B0F0"/>
          <w:lang w:bidi="ar-SA"/>
        </w:rPr>
        <w:t>in preparing thematic or summary reports, to help facilitate and inform ongoing policy debates.</w:t>
      </w:r>
      <w:r w:rsidR="00D145EC" w:rsidRPr="00596B85">
        <w:rPr>
          <w:rFonts w:ascii="Franklin Gothic Book" w:hAnsi="Franklin Gothic Book" w:cs="Calibri"/>
          <w:color w:val="00B0F0"/>
          <w:lang w:bidi="ar-SA"/>
        </w:rPr>
        <w:t xml:space="preserve"> </w:t>
      </w:r>
    </w:p>
    <w:p w14:paraId="69A510D6" w14:textId="1CCDB22D" w:rsidR="00596B85" w:rsidRDefault="00596B85" w:rsidP="00596B85">
      <w:pPr>
        <w:pStyle w:val="ListParagraph"/>
        <w:numPr>
          <w:ilvl w:val="0"/>
          <w:numId w:val="34"/>
        </w:numPr>
        <w:shd w:val="clear" w:color="auto" w:fill="FFFFFF"/>
        <w:autoSpaceDE w:val="0"/>
        <w:autoSpaceDN w:val="0"/>
        <w:adjustRightInd w:val="0"/>
        <w:spacing w:before="240" w:after="240" w:line="240" w:lineRule="auto"/>
        <w:jc w:val="left"/>
        <w:rPr>
          <w:rFonts w:ascii="Franklin Gothic Book" w:hAnsi="Franklin Gothic Book" w:cs="Calibri"/>
          <w:bCs/>
          <w:color w:val="00B0F0"/>
          <w:lang w:eastAsia="fr-FR" w:bidi="ar-SA"/>
        </w:rPr>
      </w:pPr>
      <w:r w:rsidRPr="006C0E8F">
        <w:rPr>
          <w:rFonts w:ascii="Franklin Gothic Book" w:hAnsi="Franklin Gothic Book" w:cs="Calibri"/>
          <w:bCs/>
          <w:color w:val="00B0F0"/>
          <w:lang w:eastAsia="fr-FR" w:bidi="ar-SA"/>
        </w:rPr>
        <w:t>[</w:t>
      </w:r>
      <w:r>
        <w:rPr>
          <w:rFonts w:ascii="Franklin Gothic Book" w:hAnsi="Franklin Gothic Book" w:cs="Calibri"/>
          <w:bCs/>
          <w:color w:val="00B0F0"/>
          <w:lang w:eastAsia="fr-FR" w:bidi="ar-SA"/>
        </w:rPr>
        <w:t>Any other responsibilities or deliverables should be added here</w:t>
      </w:r>
      <w:r w:rsidRPr="006C0E8F">
        <w:rPr>
          <w:rFonts w:ascii="Franklin Gothic Book" w:hAnsi="Franklin Gothic Book" w:cs="Calibri"/>
          <w:bCs/>
          <w:color w:val="00B0F0"/>
          <w:lang w:eastAsia="fr-FR" w:bidi="ar-SA"/>
        </w:rPr>
        <w:t>.]</w:t>
      </w:r>
    </w:p>
    <w:p w14:paraId="1A391D2D" w14:textId="17AA095B" w:rsidR="004050EE" w:rsidRPr="004050EE" w:rsidRDefault="004050EE" w:rsidP="004050EE">
      <w:pPr>
        <w:shd w:val="clear" w:color="auto" w:fill="FFFFFF"/>
        <w:autoSpaceDE w:val="0"/>
        <w:autoSpaceDN w:val="0"/>
        <w:adjustRightInd w:val="0"/>
        <w:spacing w:before="240" w:after="240" w:line="240" w:lineRule="auto"/>
        <w:jc w:val="left"/>
        <w:rPr>
          <w:rFonts w:ascii="Franklin Gothic Book" w:hAnsi="Franklin Gothic Book" w:cs="Calibri"/>
          <w:bCs/>
          <w:lang w:eastAsia="fr-FR" w:bidi="ar-SA"/>
        </w:rPr>
      </w:pPr>
      <w:r>
        <w:rPr>
          <w:rFonts w:ascii="Franklin Gothic Book" w:hAnsi="Franklin Gothic Book" w:cs="Calibri"/>
          <w:bCs/>
          <w:lang w:eastAsia="fr-FR" w:bidi="ar-SA"/>
        </w:rPr>
        <w:t xml:space="preserve">All reporting activities should be undertaken in a way that </w:t>
      </w:r>
      <w:r w:rsidRPr="004050EE">
        <w:rPr>
          <w:rFonts w:ascii="Franklin Gothic Book" w:hAnsi="Franklin Gothic Book" w:cs="Calibri"/>
          <w:bCs/>
          <w:lang w:eastAsia="fr-FR" w:bidi="ar-SA"/>
        </w:rPr>
        <w:t>safeguards public health</w:t>
      </w:r>
      <w:r>
        <w:rPr>
          <w:rFonts w:ascii="Franklin Gothic Book" w:hAnsi="Franklin Gothic Book" w:cs="Calibri"/>
          <w:bCs/>
          <w:lang w:eastAsia="fr-FR" w:bidi="ar-SA"/>
        </w:rPr>
        <w:t>.</w:t>
      </w:r>
    </w:p>
    <w:p w14:paraId="62CA2D83" w14:textId="4DEC2A05" w:rsidR="00E010FF" w:rsidRPr="00FD1ABC" w:rsidRDefault="004F652B" w:rsidP="00087E80">
      <w:pPr>
        <w:pStyle w:val="Heading1"/>
        <w:rPr>
          <w:rFonts w:ascii="Franklin Gothic Book" w:eastAsia="Calibri" w:hAnsi="Franklin Gothic Book"/>
          <w:lang w:eastAsia="nb-NO" w:bidi="ar-SA"/>
        </w:rPr>
      </w:pPr>
      <w:bookmarkStart w:id="10" w:name="_Toc420357365"/>
      <w:bookmarkStart w:id="11" w:name="_Toc420357622"/>
      <w:bookmarkStart w:id="12" w:name="_Toc420362731"/>
      <w:bookmarkStart w:id="13" w:name="_Toc42596340"/>
      <w:r w:rsidRPr="00FD1ABC">
        <w:rPr>
          <w:rFonts w:ascii="Franklin Gothic Book" w:eastAsia="Calibri" w:hAnsi="Franklin Gothic Book"/>
          <w:lang w:eastAsia="nb-NO" w:bidi="ar-SA"/>
        </w:rPr>
        <w:lastRenderedPageBreak/>
        <w:t xml:space="preserve">Scope of </w:t>
      </w:r>
      <w:r w:rsidR="007159AA">
        <w:rPr>
          <w:rFonts w:ascii="Franklin Gothic Book" w:eastAsia="Calibri" w:hAnsi="Franklin Gothic Book"/>
          <w:lang w:eastAsia="nb-NO" w:bidi="ar-SA"/>
        </w:rPr>
        <w:t>reporting</w:t>
      </w:r>
      <w:r w:rsidRPr="00FD1ABC">
        <w:rPr>
          <w:rFonts w:ascii="Franklin Gothic Book" w:eastAsia="Calibri" w:hAnsi="Franklin Gothic Book"/>
          <w:lang w:eastAsia="nb-NO" w:bidi="ar-SA"/>
        </w:rPr>
        <w:t>, tasks and expected deliverables</w:t>
      </w:r>
      <w:bookmarkEnd w:id="10"/>
      <w:bookmarkEnd w:id="11"/>
      <w:bookmarkEnd w:id="12"/>
      <w:bookmarkEnd w:id="13"/>
    </w:p>
    <w:p w14:paraId="72A64B1A" w14:textId="3A5DCC1D" w:rsidR="00D145EC" w:rsidRPr="00C97685" w:rsidRDefault="00D145EC" w:rsidP="00E010FF">
      <w:pPr>
        <w:shd w:val="clear" w:color="auto" w:fill="FFFFFF"/>
        <w:tabs>
          <w:tab w:val="left" w:pos="426"/>
          <w:tab w:val="left" w:pos="709"/>
        </w:tabs>
        <w:spacing w:before="240" w:after="240" w:line="240" w:lineRule="auto"/>
        <w:jc w:val="left"/>
        <w:rPr>
          <w:rFonts w:ascii="Franklin Gothic Book" w:eastAsia="Calibri" w:hAnsi="Franklin Gothic Book"/>
          <w:b/>
          <w:bCs/>
          <w:lang w:eastAsia="nb-NO" w:bidi="ar-SA"/>
        </w:rPr>
      </w:pPr>
      <w:r w:rsidRPr="00C97685">
        <w:rPr>
          <w:rFonts w:ascii="Franklin Gothic Book" w:eastAsia="Calibri" w:hAnsi="Franklin Gothic Book"/>
          <w:b/>
          <w:bCs/>
          <w:lang w:eastAsia="nb-NO" w:bidi="ar-SA"/>
        </w:rPr>
        <w:t xml:space="preserve">Phase 1: </w:t>
      </w:r>
      <w:r w:rsidR="00C97685">
        <w:rPr>
          <w:rFonts w:ascii="Franklin Gothic Book" w:eastAsia="Calibri" w:hAnsi="Franklin Gothic Book"/>
          <w:b/>
          <w:bCs/>
          <w:lang w:eastAsia="nb-NO" w:bidi="ar-SA"/>
        </w:rPr>
        <w:t xml:space="preserve">Setting </w:t>
      </w:r>
      <w:r w:rsidRPr="00C97685">
        <w:rPr>
          <w:rFonts w:ascii="Franklin Gothic Book" w:eastAsia="Calibri" w:hAnsi="Franklin Gothic Book"/>
          <w:b/>
          <w:bCs/>
          <w:lang w:eastAsia="nb-NO" w:bidi="ar-SA"/>
        </w:rPr>
        <w:t xml:space="preserve">objectives </w:t>
      </w:r>
      <w:r w:rsidR="00625B47">
        <w:rPr>
          <w:rFonts w:ascii="Franklin Gothic Book" w:eastAsia="Calibri" w:hAnsi="Franklin Gothic Book"/>
          <w:b/>
          <w:bCs/>
          <w:lang w:eastAsia="nb-NO" w:bidi="ar-SA"/>
        </w:rPr>
        <w:t>for reporting</w:t>
      </w:r>
    </w:p>
    <w:p w14:paraId="0BE79B3D" w14:textId="5453856E" w:rsidR="00317914" w:rsidRDefault="004E18A4" w:rsidP="68CBBC64">
      <w:pPr>
        <w:shd w:val="clear" w:color="auto" w:fill="FFFFFF" w:themeFill="background1"/>
        <w:tabs>
          <w:tab w:val="left" w:pos="426"/>
          <w:tab w:val="left" w:pos="709"/>
        </w:tabs>
        <w:spacing w:before="240" w:after="240" w:line="240" w:lineRule="auto"/>
        <w:jc w:val="left"/>
        <w:rPr>
          <w:rFonts w:ascii="Franklin Gothic Book" w:eastAsia="Calibri" w:hAnsi="Franklin Gothic Book"/>
          <w:lang w:eastAsia="nb-NO" w:bidi="ar-SA"/>
        </w:rPr>
      </w:pPr>
      <w:bookmarkStart w:id="14" w:name="_Hlk39819205"/>
      <w:r w:rsidRPr="68CBBC64">
        <w:rPr>
          <w:rFonts w:ascii="Franklin Gothic Book" w:eastAsia="Calibri" w:hAnsi="Franklin Gothic Book"/>
          <w:u w:val="single"/>
          <w:lang w:eastAsia="nb-NO" w:bidi="ar-SA"/>
        </w:rPr>
        <w:t>Objective</w:t>
      </w:r>
      <w:r w:rsidRPr="68CBBC64">
        <w:rPr>
          <w:rFonts w:ascii="Franklin Gothic Book" w:eastAsia="Calibri" w:hAnsi="Franklin Gothic Book"/>
          <w:lang w:eastAsia="nb-NO" w:bidi="ar-SA"/>
        </w:rPr>
        <w:t xml:space="preserve">: </w:t>
      </w:r>
      <w:r w:rsidR="00CB4C1B" w:rsidRPr="68CBBC64">
        <w:rPr>
          <w:rFonts w:ascii="Franklin Gothic Book" w:eastAsia="Calibri" w:hAnsi="Franklin Gothic Book"/>
          <w:lang w:eastAsia="nb-NO" w:bidi="ar-SA"/>
        </w:rPr>
        <w:t>E</w:t>
      </w:r>
      <w:r w:rsidRPr="68CBBC64">
        <w:rPr>
          <w:rFonts w:ascii="Franklin Gothic Book" w:eastAsia="Calibri" w:hAnsi="Franklin Gothic Book"/>
          <w:lang w:eastAsia="nb-NO" w:bidi="ar-SA"/>
        </w:rPr>
        <w:t>stablish the overall objectives for the reporting process</w:t>
      </w:r>
      <w:r w:rsidR="00FA4290" w:rsidRPr="68CBBC64">
        <w:rPr>
          <w:rFonts w:ascii="Franklin Gothic Book" w:eastAsia="Calibri" w:hAnsi="Franklin Gothic Book"/>
          <w:lang w:eastAsia="nb-NO" w:bidi="ar-SA"/>
        </w:rPr>
        <w:t xml:space="preserve">, </w:t>
      </w:r>
      <w:r w:rsidR="00D145EC" w:rsidRPr="68CBBC64">
        <w:rPr>
          <w:rFonts w:ascii="Franklin Gothic Book" w:eastAsia="Calibri" w:hAnsi="Franklin Gothic Book"/>
          <w:lang w:eastAsia="nb-NO" w:bidi="ar-SA"/>
        </w:rPr>
        <w:t xml:space="preserve">based on work plan objectives </w:t>
      </w:r>
      <w:r w:rsidR="00FA4290" w:rsidRPr="68CBBC64">
        <w:rPr>
          <w:rFonts w:ascii="Franklin Gothic Book" w:eastAsia="Calibri" w:hAnsi="Franklin Gothic Book"/>
          <w:lang w:eastAsia="nb-NO" w:bidi="ar-SA"/>
        </w:rPr>
        <w:t xml:space="preserve">and national priorities. The MSG should consider </w:t>
      </w:r>
      <w:r w:rsidR="00ED467F" w:rsidRPr="68CBBC64">
        <w:rPr>
          <w:rFonts w:ascii="Franklin Gothic Book" w:eastAsia="Calibri" w:hAnsi="Franklin Gothic Book"/>
          <w:lang w:eastAsia="nb-NO" w:bidi="ar-SA"/>
        </w:rPr>
        <w:t xml:space="preserve">how the reporting can help inform ongoing </w:t>
      </w:r>
      <w:bookmarkEnd w:id="14"/>
      <w:r w:rsidR="00317914" w:rsidRPr="68CBBC64">
        <w:rPr>
          <w:rFonts w:ascii="Franklin Gothic Book" w:hAnsi="Franklin Gothic Book" w:cs="Calibri"/>
          <w:lang w:bidi="ar-SA"/>
        </w:rPr>
        <w:t xml:space="preserve">discussions on measures to address the </w:t>
      </w:r>
      <w:r w:rsidR="00317914">
        <w:rPr>
          <w:rFonts w:ascii="Franklin Gothic Book" w:hAnsi="Franklin Gothic Book" w:cs="Calibri"/>
          <w:lang w:bidi="ar-SA"/>
        </w:rPr>
        <w:t>impact of or recovery from the</w:t>
      </w:r>
      <w:r w:rsidR="00317914" w:rsidRPr="68CBBC64">
        <w:rPr>
          <w:rFonts w:ascii="Franklin Gothic Book" w:hAnsi="Franklin Gothic Book" w:cs="Calibri"/>
          <w:lang w:bidi="ar-SA"/>
        </w:rPr>
        <w:t xml:space="preserve"> Covid-19 pandemic</w:t>
      </w:r>
      <w:r w:rsidR="00317914">
        <w:rPr>
          <w:rFonts w:ascii="Franklin Gothic Book" w:hAnsi="Franklin Gothic Book" w:cs="Calibri"/>
          <w:lang w:bidi="ar-SA"/>
        </w:rPr>
        <w:t xml:space="preserve"> or the implications of the energy transition</w:t>
      </w:r>
      <w:r w:rsidR="00317914" w:rsidRPr="68CBBC64">
        <w:rPr>
          <w:rFonts w:ascii="Franklin Gothic Book" w:hAnsi="Franklin Gothic Book" w:cs="Calibri"/>
          <w:lang w:bidi="ar-SA"/>
        </w:rPr>
        <w:t>.</w:t>
      </w:r>
      <w:r w:rsidR="0037028D">
        <w:rPr>
          <w:rStyle w:val="FootnoteReference"/>
          <w:rFonts w:ascii="Franklin Gothic Book" w:hAnsi="Franklin Gothic Book" w:cs="Calibri"/>
          <w:lang w:bidi="ar-SA"/>
        </w:rPr>
        <w:footnoteReference w:id="4"/>
      </w:r>
    </w:p>
    <w:p w14:paraId="58359DAA" w14:textId="6B3B40DD" w:rsidR="00ED467F" w:rsidRDefault="00ED467F" w:rsidP="68CBBC64">
      <w:pPr>
        <w:shd w:val="clear" w:color="auto" w:fill="FFFFFF" w:themeFill="background1"/>
        <w:tabs>
          <w:tab w:val="left" w:pos="426"/>
          <w:tab w:val="left" w:pos="709"/>
        </w:tabs>
        <w:spacing w:before="240" w:after="240" w:line="240" w:lineRule="auto"/>
        <w:jc w:val="left"/>
        <w:rPr>
          <w:rFonts w:ascii="Franklin Gothic Book" w:eastAsia="Calibri" w:hAnsi="Franklin Gothic Book"/>
          <w:lang w:eastAsia="nb-NO" w:bidi="ar-SA"/>
        </w:rPr>
      </w:pPr>
      <w:r w:rsidRPr="68CBBC64">
        <w:rPr>
          <w:rFonts w:ascii="Franklin Gothic Book" w:hAnsi="Franklin Gothic Book"/>
        </w:rPr>
        <w:t>Relevant information on sector developments and industry outlook in light of C</w:t>
      </w:r>
      <w:r w:rsidR="7676BADE" w:rsidRPr="68CBBC64">
        <w:rPr>
          <w:rFonts w:ascii="Franklin Gothic Book" w:hAnsi="Franklin Gothic Book"/>
        </w:rPr>
        <w:t>ovid</w:t>
      </w:r>
      <w:r w:rsidRPr="68CBBC64">
        <w:rPr>
          <w:rFonts w:ascii="Franklin Gothic Book" w:hAnsi="Franklin Gothic Book"/>
        </w:rPr>
        <w:t xml:space="preserve">-19 and the </w:t>
      </w:r>
      <w:r w:rsidR="0037028D">
        <w:rPr>
          <w:rFonts w:ascii="Franklin Gothic Book" w:hAnsi="Franklin Gothic Book"/>
        </w:rPr>
        <w:t xml:space="preserve">energy transition </w:t>
      </w:r>
      <w:r w:rsidRPr="68CBBC64">
        <w:rPr>
          <w:rFonts w:ascii="Franklin Gothic Book" w:hAnsi="Franklin Gothic Book"/>
        </w:rPr>
        <w:t>could include:</w:t>
      </w:r>
    </w:p>
    <w:p w14:paraId="180EFE02" w14:textId="1F32F482" w:rsidR="004050EE" w:rsidRPr="00883CCA" w:rsidRDefault="004050EE" w:rsidP="004050EE">
      <w:pPr>
        <w:pStyle w:val="ListParagraph"/>
        <w:widowControl w:val="0"/>
        <w:numPr>
          <w:ilvl w:val="0"/>
          <w:numId w:val="37"/>
        </w:numPr>
        <w:suppressAutoHyphens/>
        <w:spacing w:after="360" w:line="264" w:lineRule="auto"/>
        <w:ind w:left="1400"/>
        <w:jc w:val="left"/>
        <w:rPr>
          <w:rFonts w:ascii="Franklin Gothic Book" w:hAnsi="Franklin Gothic Book"/>
          <w:color w:val="00B0F0"/>
        </w:rPr>
      </w:pPr>
      <w:r w:rsidRPr="68CBBC64">
        <w:rPr>
          <w:rFonts w:ascii="Franklin Gothic Book" w:hAnsi="Franklin Gothic Book" w:cs="Calibri"/>
          <w:color w:val="00B0F0"/>
          <w:lang w:eastAsia="fr-FR" w:bidi="ar-SA"/>
        </w:rPr>
        <w:t>[</w:t>
      </w:r>
      <w:r w:rsidRPr="68CBBC64">
        <w:rPr>
          <w:rFonts w:ascii="Franklin Gothic Book" w:hAnsi="Franklin Gothic Book"/>
          <w:color w:val="00B0F0"/>
        </w:rPr>
        <w:t>Informing the public about the impact of C</w:t>
      </w:r>
      <w:r w:rsidR="3ECF77C3" w:rsidRPr="68CBBC64">
        <w:rPr>
          <w:rFonts w:ascii="Franklin Gothic Book" w:hAnsi="Franklin Gothic Book"/>
          <w:color w:val="00B0F0"/>
        </w:rPr>
        <w:t>ovid</w:t>
      </w:r>
      <w:r w:rsidRPr="68CBBC64">
        <w:rPr>
          <w:rFonts w:ascii="Franklin Gothic Book" w:hAnsi="Franklin Gothic Book"/>
          <w:color w:val="00B0F0"/>
        </w:rPr>
        <w:t xml:space="preserve">-19 </w:t>
      </w:r>
      <w:r w:rsidR="0037028D">
        <w:rPr>
          <w:rFonts w:ascii="Franklin Gothic Book" w:hAnsi="Franklin Gothic Book"/>
          <w:color w:val="00B0F0"/>
        </w:rPr>
        <w:t xml:space="preserve">or the energy transition </w:t>
      </w:r>
      <w:r w:rsidRPr="68CBBC64">
        <w:rPr>
          <w:rFonts w:ascii="Franklin Gothic Book" w:hAnsi="Franklin Gothic Book"/>
          <w:color w:val="00B0F0"/>
        </w:rPr>
        <w:t>on the legal and fiscal terms governing the extractive industries.</w:t>
      </w:r>
    </w:p>
    <w:p w14:paraId="12334468" w14:textId="5B345126" w:rsidR="004050EE" w:rsidRPr="00883CCA" w:rsidRDefault="004050EE" w:rsidP="004050EE">
      <w:pPr>
        <w:pStyle w:val="ListParagraph"/>
        <w:widowControl w:val="0"/>
        <w:numPr>
          <w:ilvl w:val="0"/>
          <w:numId w:val="37"/>
        </w:numPr>
        <w:suppressAutoHyphens/>
        <w:spacing w:after="360" w:line="264" w:lineRule="auto"/>
        <w:ind w:left="1400"/>
        <w:jc w:val="left"/>
        <w:rPr>
          <w:rFonts w:ascii="Franklin Gothic Book" w:hAnsi="Franklin Gothic Book"/>
          <w:color w:val="00B0F0"/>
        </w:rPr>
      </w:pPr>
      <w:r>
        <w:rPr>
          <w:rFonts w:ascii="Franklin Gothic Book" w:hAnsi="Franklin Gothic Book"/>
          <w:color w:val="00B0F0"/>
        </w:rPr>
        <w:t xml:space="preserve">Providing timely and reliable information </w:t>
      </w:r>
      <w:r w:rsidRPr="00883CCA">
        <w:rPr>
          <w:rFonts w:ascii="Franklin Gothic Book" w:hAnsi="Franklin Gothic Book"/>
          <w:color w:val="00B0F0"/>
        </w:rPr>
        <w:t xml:space="preserve">about actual and projected revenues from the extractive industries in light of the </w:t>
      </w:r>
      <w:r w:rsidR="00317914">
        <w:rPr>
          <w:rFonts w:ascii="Franklin Gothic Book" w:hAnsi="Franklin Gothic Book"/>
          <w:color w:val="00B0F0"/>
        </w:rPr>
        <w:t>energy transition</w:t>
      </w:r>
      <w:r w:rsidRPr="00883CCA">
        <w:rPr>
          <w:rFonts w:ascii="Franklin Gothic Book" w:hAnsi="Franklin Gothic Book"/>
          <w:color w:val="00B0F0"/>
        </w:rPr>
        <w:t>.</w:t>
      </w:r>
    </w:p>
    <w:p w14:paraId="53D40DAA" w14:textId="684261D7" w:rsidR="004050EE" w:rsidRPr="00883CCA" w:rsidRDefault="004050EE" w:rsidP="004050EE">
      <w:pPr>
        <w:pStyle w:val="ListParagraph"/>
        <w:widowControl w:val="0"/>
        <w:numPr>
          <w:ilvl w:val="0"/>
          <w:numId w:val="37"/>
        </w:numPr>
        <w:suppressAutoHyphens/>
        <w:spacing w:after="360" w:line="264" w:lineRule="auto"/>
        <w:ind w:left="1400"/>
        <w:jc w:val="left"/>
        <w:rPr>
          <w:rFonts w:ascii="Franklin Gothic Book" w:hAnsi="Franklin Gothic Book"/>
          <w:color w:val="00B0F0"/>
        </w:rPr>
      </w:pPr>
      <w:r w:rsidRPr="68CBBC64">
        <w:rPr>
          <w:rFonts w:ascii="Franklin Gothic Book" w:hAnsi="Franklin Gothic Book"/>
          <w:color w:val="00B0F0"/>
        </w:rPr>
        <w:t>Identifying and mitigating possible corruption risks across the extractives value chain</w:t>
      </w:r>
      <w:r w:rsidR="00317914">
        <w:rPr>
          <w:rFonts w:ascii="Franklin Gothic Book" w:hAnsi="Franklin Gothic Book"/>
          <w:color w:val="00B0F0"/>
        </w:rPr>
        <w:t>.</w:t>
      </w:r>
      <w:r w:rsidRPr="68CBBC64">
        <w:rPr>
          <w:rFonts w:ascii="Franklin Gothic Book" w:hAnsi="Franklin Gothic Book"/>
          <w:color w:val="00B0F0"/>
        </w:rPr>
        <w:t xml:space="preserve"> </w:t>
      </w:r>
    </w:p>
    <w:p w14:paraId="091D2254" w14:textId="2902913F" w:rsidR="004050EE" w:rsidRPr="00883CCA" w:rsidRDefault="004050EE" w:rsidP="004050EE">
      <w:pPr>
        <w:pStyle w:val="ListParagraph"/>
        <w:widowControl w:val="0"/>
        <w:numPr>
          <w:ilvl w:val="0"/>
          <w:numId w:val="37"/>
        </w:numPr>
        <w:suppressAutoHyphens/>
        <w:spacing w:after="360" w:line="264" w:lineRule="auto"/>
        <w:ind w:left="1400"/>
        <w:jc w:val="left"/>
        <w:rPr>
          <w:rFonts w:ascii="Franklin Gothic Book" w:hAnsi="Franklin Gothic Book"/>
          <w:color w:val="00B0F0"/>
        </w:rPr>
      </w:pPr>
      <w:r w:rsidRPr="00883CCA">
        <w:rPr>
          <w:rFonts w:ascii="Franklin Gothic Book" w:hAnsi="Franklin Gothic Book"/>
          <w:color w:val="00B0F0"/>
        </w:rPr>
        <w:t>Monitoring revenue transfers, payments and benefits to local communities</w:t>
      </w:r>
      <w:r w:rsidR="00317914">
        <w:rPr>
          <w:rFonts w:ascii="Franklin Gothic Book" w:hAnsi="Franklin Gothic Book"/>
          <w:color w:val="00B0F0"/>
        </w:rPr>
        <w:t>.</w:t>
      </w:r>
    </w:p>
    <w:p w14:paraId="3DBAB5C0" w14:textId="77777777" w:rsidR="004050EE" w:rsidRDefault="004050EE" w:rsidP="004050EE">
      <w:pPr>
        <w:pStyle w:val="ListParagraph"/>
        <w:widowControl w:val="0"/>
        <w:numPr>
          <w:ilvl w:val="0"/>
          <w:numId w:val="37"/>
        </w:numPr>
        <w:suppressAutoHyphens/>
        <w:spacing w:after="360" w:line="264" w:lineRule="auto"/>
        <w:ind w:left="1400"/>
        <w:jc w:val="left"/>
        <w:rPr>
          <w:rFonts w:ascii="Franklin Gothic Book" w:hAnsi="Franklin Gothic Book"/>
          <w:color w:val="00B0F0"/>
        </w:rPr>
      </w:pPr>
      <w:r>
        <w:rPr>
          <w:rFonts w:ascii="Franklin Gothic Book" w:hAnsi="Franklin Gothic Book"/>
          <w:color w:val="00B0F0"/>
        </w:rPr>
        <w:t>S</w:t>
      </w:r>
      <w:r w:rsidRPr="004050EE">
        <w:rPr>
          <w:rFonts w:ascii="Franklin Gothic Book" w:hAnsi="Franklin Gothic Book"/>
          <w:color w:val="00B0F0"/>
        </w:rPr>
        <w:t>trengthening timely and regular government and company disclosures in accordance with the EITI Standard.</w:t>
      </w:r>
    </w:p>
    <w:p w14:paraId="3EDB5A4C" w14:textId="77777777" w:rsidR="004050EE" w:rsidRDefault="004050EE" w:rsidP="004050EE">
      <w:pPr>
        <w:pStyle w:val="ListParagraph"/>
        <w:widowControl w:val="0"/>
        <w:numPr>
          <w:ilvl w:val="0"/>
          <w:numId w:val="37"/>
        </w:numPr>
        <w:suppressAutoHyphens/>
        <w:spacing w:after="360" w:line="264" w:lineRule="auto"/>
        <w:ind w:left="1400"/>
        <w:jc w:val="left"/>
        <w:rPr>
          <w:rFonts w:ascii="Franklin Gothic Book" w:hAnsi="Franklin Gothic Book"/>
          <w:color w:val="00B0F0"/>
        </w:rPr>
      </w:pPr>
      <w:r w:rsidRPr="004050EE">
        <w:rPr>
          <w:rFonts w:ascii="Franklin Gothic Book" w:hAnsi="Franklin Gothic Book"/>
          <w:color w:val="00B0F0"/>
        </w:rPr>
        <w:t>Providing an assessment of the comprehensiveness and reliability of the disclosures and recommendations regarding audit practices and reforms needed to bring them in line with international standards.</w:t>
      </w:r>
    </w:p>
    <w:p w14:paraId="0023DD65" w14:textId="10D1F614" w:rsidR="004050EE" w:rsidRDefault="004050EE" w:rsidP="004050EE">
      <w:pPr>
        <w:pStyle w:val="ListParagraph"/>
        <w:widowControl w:val="0"/>
        <w:numPr>
          <w:ilvl w:val="0"/>
          <w:numId w:val="37"/>
        </w:numPr>
        <w:suppressAutoHyphens/>
        <w:spacing w:after="360" w:line="264" w:lineRule="auto"/>
        <w:ind w:left="1400"/>
        <w:jc w:val="left"/>
        <w:rPr>
          <w:rFonts w:ascii="Franklin Gothic Book" w:hAnsi="Franklin Gothic Book"/>
          <w:color w:val="00B0F0"/>
        </w:rPr>
      </w:pPr>
      <w:r w:rsidRPr="004050EE">
        <w:rPr>
          <w:rFonts w:ascii="Franklin Gothic Book" w:hAnsi="Franklin Gothic Book"/>
          <w:color w:val="00B0F0"/>
        </w:rPr>
        <w:t>Support</w:t>
      </w:r>
      <w:r w:rsidR="00317914">
        <w:rPr>
          <w:rFonts w:ascii="Franklin Gothic Book" w:hAnsi="Franklin Gothic Book"/>
          <w:color w:val="00B0F0"/>
        </w:rPr>
        <w:t>ing</w:t>
      </w:r>
      <w:r w:rsidRPr="004050EE">
        <w:rPr>
          <w:rFonts w:ascii="Franklin Gothic Book" w:hAnsi="Franklin Gothic Book"/>
          <w:color w:val="00B0F0"/>
        </w:rPr>
        <w:t xml:space="preserve"> the MSG in agreeing recommendations for strengthening government systems and natural resource governance.</w:t>
      </w:r>
    </w:p>
    <w:p w14:paraId="7AF11F9D" w14:textId="1051012F" w:rsidR="004050EE" w:rsidRDefault="004050EE" w:rsidP="004050EE">
      <w:pPr>
        <w:pStyle w:val="ListParagraph"/>
        <w:widowControl w:val="0"/>
        <w:numPr>
          <w:ilvl w:val="0"/>
          <w:numId w:val="37"/>
        </w:numPr>
        <w:suppressAutoHyphens/>
        <w:spacing w:after="360" w:line="264" w:lineRule="auto"/>
        <w:ind w:left="1400"/>
        <w:jc w:val="left"/>
        <w:rPr>
          <w:rFonts w:ascii="Franklin Gothic Book" w:hAnsi="Franklin Gothic Book"/>
          <w:color w:val="00B0F0"/>
        </w:rPr>
      </w:pPr>
      <w:r w:rsidRPr="004050EE">
        <w:rPr>
          <w:rFonts w:ascii="Franklin Gothic Book" w:hAnsi="Franklin Gothic Book"/>
          <w:color w:val="00B0F0"/>
        </w:rPr>
        <w:t>Progress in addressing recommendations from previous EITI reporting or corrective actions from Validation</w:t>
      </w:r>
      <w:r w:rsidR="003C4A74">
        <w:rPr>
          <w:rFonts w:ascii="Franklin Gothic Book" w:hAnsi="Franklin Gothic Book"/>
          <w:color w:val="00B0F0"/>
        </w:rPr>
        <w:t>.</w:t>
      </w:r>
    </w:p>
    <w:p w14:paraId="27BC0589" w14:textId="3A46AC74" w:rsidR="004050EE" w:rsidRPr="004050EE" w:rsidRDefault="004050EE" w:rsidP="004050EE">
      <w:pPr>
        <w:pStyle w:val="ListParagraph"/>
        <w:widowControl w:val="0"/>
        <w:numPr>
          <w:ilvl w:val="0"/>
          <w:numId w:val="37"/>
        </w:numPr>
        <w:suppressAutoHyphens/>
        <w:spacing w:after="360" w:line="264" w:lineRule="auto"/>
        <w:ind w:left="1400"/>
        <w:jc w:val="left"/>
        <w:rPr>
          <w:rFonts w:ascii="Franklin Gothic Book" w:hAnsi="Franklin Gothic Book"/>
          <w:color w:val="00B0F0"/>
        </w:rPr>
      </w:pPr>
      <w:r w:rsidRPr="004050EE">
        <w:rPr>
          <w:rFonts w:ascii="Franklin Gothic Book" w:hAnsi="Franklin Gothic Book"/>
          <w:color w:val="00B0F0"/>
        </w:rPr>
        <w:t xml:space="preserve">Any other objectives as agreed by </w:t>
      </w:r>
      <w:r w:rsidR="003C4A74">
        <w:rPr>
          <w:rFonts w:ascii="Franklin Gothic Book" w:hAnsi="Franklin Gothic Book"/>
          <w:color w:val="00B0F0"/>
        </w:rPr>
        <w:t xml:space="preserve">the </w:t>
      </w:r>
      <w:r w:rsidRPr="004050EE">
        <w:rPr>
          <w:rFonts w:ascii="Franklin Gothic Book" w:hAnsi="Franklin Gothic Book"/>
          <w:color w:val="00B0F0"/>
        </w:rPr>
        <w:t>MSG.</w:t>
      </w:r>
      <w:r w:rsidRPr="004050EE">
        <w:rPr>
          <w:rFonts w:ascii="Franklin Gothic Book" w:hAnsi="Franklin Gothic Book" w:cs="Calibri"/>
          <w:bCs/>
          <w:color w:val="00B0F0"/>
          <w:lang w:eastAsia="fr-FR" w:bidi="ar-SA"/>
        </w:rPr>
        <w:t>]</w:t>
      </w:r>
    </w:p>
    <w:p w14:paraId="2F371F51" w14:textId="66AEC68E" w:rsidR="00C50B66" w:rsidRPr="00C97685" w:rsidRDefault="009900EF" w:rsidP="004E18A4">
      <w:pPr>
        <w:shd w:val="clear" w:color="auto" w:fill="FFFFFF"/>
        <w:tabs>
          <w:tab w:val="left" w:pos="426"/>
          <w:tab w:val="left" w:pos="709"/>
        </w:tabs>
        <w:spacing w:before="240" w:after="240" w:line="240" w:lineRule="auto"/>
        <w:jc w:val="left"/>
        <w:rPr>
          <w:rFonts w:ascii="Franklin Gothic Book" w:eastAsia="Calibri" w:hAnsi="Franklin Gothic Book"/>
          <w:b/>
          <w:bCs/>
          <w:lang w:eastAsia="nb-NO" w:bidi="ar-SA"/>
        </w:rPr>
      </w:pPr>
      <w:r w:rsidRPr="00C97685">
        <w:rPr>
          <w:rFonts w:ascii="Franklin Gothic Book" w:eastAsia="Calibri" w:hAnsi="Franklin Gothic Book"/>
          <w:b/>
          <w:bCs/>
          <w:lang w:eastAsia="nb-NO" w:bidi="ar-SA"/>
        </w:rPr>
        <w:t xml:space="preserve">Phase 2: Identifying scope  </w:t>
      </w:r>
    </w:p>
    <w:p w14:paraId="1912327B" w14:textId="4FD9BF99" w:rsidR="009900EF" w:rsidRDefault="0010480C" w:rsidP="0010480C">
      <w:pPr>
        <w:shd w:val="clear" w:color="auto" w:fill="FFFFFF"/>
        <w:tabs>
          <w:tab w:val="left" w:pos="426"/>
          <w:tab w:val="left" w:pos="709"/>
        </w:tabs>
        <w:spacing w:before="240" w:after="240" w:line="240" w:lineRule="auto"/>
        <w:jc w:val="left"/>
        <w:rPr>
          <w:rFonts w:ascii="Franklin Gothic Book" w:eastAsia="Calibri" w:hAnsi="Franklin Gothic Book"/>
          <w:lang w:eastAsia="nb-NO" w:bidi="ar-SA"/>
        </w:rPr>
      </w:pPr>
      <w:r w:rsidRPr="00C97685">
        <w:rPr>
          <w:rFonts w:ascii="Franklin Gothic Book" w:eastAsia="Calibri" w:hAnsi="Franklin Gothic Book"/>
          <w:u w:val="single"/>
          <w:lang w:eastAsia="nb-NO" w:bidi="ar-SA"/>
        </w:rPr>
        <w:t>Objective</w:t>
      </w:r>
      <w:r w:rsidRPr="00C97685">
        <w:rPr>
          <w:rFonts w:ascii="Franklin Gothic Book" w:eastAsia="Calibri" w:hAnsi="Franklin Gothic Book"/>
          <w:lang w:eastAsia="nb-NO" w:bidi="ar-SA"/>
        </w:rPr>
        <w:t xml:space="preserve">: </w:t>
      </w:r>
      <w:r w:rsidR="009900EF" w:rsidRPr="0010480C">
        <w:rPr>
          <w:rFonts w:ascii="Franklin Gothic Book" w:eastAsia="Calibri" w:hAnsi="Franklin Gothic Book"/>
          <w:lang w:eastAsia="nb-NO" w:bidi="ar-SA"/>
        </w:rPr>
        <w:t xml:space="preserve">Identify </w:t>
      </w:r>
      <w:r w:rsidR="00CB4C1B">
        <w:rPr>
          <w:rFonts w:ascii="Franklin Gothic Book" w:eastAsia="Calibri" w:hAnsi="Franklin Gothic Book"/>
          <w:lang w:eastAsia="nb-NO" w:bidi="ar-SA"/>
        </w:rPr>
        <w:t xml:space="preserve">the </w:t>
      </w:r>
      <w:r w:rsidR="009900EF" w:rsidRPr="0010480C">
        <w:rPr>
          <w:rFonts w:ascii="Franklin Gothic Book" w:eastAsia="Calibri" w:hAnsi="Franklin Gothic Book"/>
          <w:lang w:eastAsia="nb-NO" w:bidi="ar-SA"/>
        </w:rPr>
        <w:t>scope of reporting (overview of applicable financial and non-financial disclosures in accordance with EITI Requirements 2-6)</w:t>
      </w:r>
      <w:r w:rsidR="00721940">
        <w:rPr>
          <w:rFonts w:ascii="Franklin Gothic Book" w:eastAsia="Calibri" w:hAnsi="Franklin Gothic Book"/>
          <w:lang w:eastAsia="nb-NO" w:bidi="ar-SA"/>
        </w:rPr>
        <w:t xml:space="preserve"> a</w:t>
      </w:r>
      <w:r w:rsidR="006276D9">
        <w:rPr>
          <w:rFonts w:ascii="Franklin Gothic Book" w:eastAsia="Calibri" w:hAnsi="Franklin Gothic Book"/>
          <w:lang w:eastAsia="nb-NO" w:bidi="ar-SA"/>
        </w:rPr>
        <w:t>n</w:t>
      </w:r>
      <w:r w:rsidR="00721940">
        <w:rPr>
          <w:rFonts w:ascii="Franklin Gothic Book" w:eastAsia="Calibri" w:hAnsi="Franklin Gothic Book"/>
          <w:lang w:eastAsia="nb-NO" w:bidi="ar-SA"/>
        </w:rPr>
        <w:t>d fiscal year</w:t>
      </w:r>
      <w:r w:rsidR="006276D9">
        <w:rPr>
          <w:rFonts w:ascii="Franklin Gothic Book" w:eastAsia="Calibri" w:hAnsi="Franklin Gothic Book"/>
          <w:lang w:eastAsia="nb-NO" w:bidi="ar-SA"/>
        </w:rPr>
        <w:t>(s)</w:t>
      </w:r>
      <w:r w:rsidR="00721940">
        <w:rPr>
          <w:rFonts w:ascii="Franklin Gothic Book" w:eastAsia="Calibri" w:hAnsi="Franklin Gothic Book"/>
          <w:lang w:eastAsia="nb-NO" w:bidi="ar-SA"/>
        </w:rPr>
        <w:t xml:space="preserve"> to be covered by the </w:t>
      </w:r>
      <w:r w:rsidR="006276D9">
        <w:rPr>
          <w:rFonts w:ascii="Franklin Gothic Book" w:eastAsia="Calibri" w:hAnsi="Franklin Gothic Book"/>
          <w:lang w:eastAsia="nb-NO" w:bidi="ar-SA"/>
        </w:rPr>
        <w:t>disclosures</w:t>
      </w:r>
      <w:r w:rsidR="00721940">
        <w:rPr>
          <w:rFonts w:ascii="Franklin Gothic Book" w:eastAsia="Calibri" w:hAnsi="Franklin Gothic Book"/>
          <w:lang w:eastAsia="nb-NO" w:bidi="ar-SA"/>
        </w:rPr>
        <w:t>.</w:t>
      </w:r>
    </w:p>
    <w:p w14:paraId="37F31BAD" w14:textId="55B059BC" w:rsidR="002E5374" w:rsidRDefault="00004866" w:rsidP="00004866">
      <w:pPr>
        <w:pStyle w:val="ListParagraph"/>
        <w:numPr>
          <w:ilvl w:val="0"/>
          <w:numId w:val="43"/>
        </w:numPr>
        <w:shd w:val="clear" w:color="auto" w:fill="FFFFFF"/>
        <w:tabs>
          <w:tab w:val="left" w:pos="426"/>
          <w:tab w:val="left" w:pos="709"/>
        </w:tabs>
        <w:spacing w:before="240" w:after="240" w:line="240" w:lineRule="auto"/>
        <w:jc w:val="left"/>
        <w:rPr>
          <w:rFonts w:ascii="Franklin Gothic Book" w:eastAsia="Calibri" w:hAnsi="Franklin Gothic Book"/>
          <w:lang w:eastAsia="nb-NO" w:bidi="ar-SA"/>
        </w:rPr>
      </w:pPr>
      <w:r w:rsidRPr="00643C03">
        <w:rPr>
          <w:rFonts w:ascii="Franklin Gothic Book" w:eastAsia="Calibri" w:hAnsi="Franklin Gothic Book"/>
          <w:b/>
          <w:bCs/>
          <w:lang w:eastAsia="nb-NO" w:bidi="ar-SA"/>
        </w:rPr>
        <w:t>Identify the information to be disclosed to meet EITI Requirements 2-6</w:t>
      </w:r>
      <w:r w:rsidR="006276D9" w:rsidRPr="00643C03">
        <w:rPr>
          <w:rFonts w:ascii="Franklin Gothic Book" w:eastAsia="Calibri" w:hAnsi="Franklin Gothic Book"/>
          <w:b/>
          <w:bCs/>
          <w:lang w:eastAsia="nb-NO" w:bidi="ar-SA"/>
        </w:rPr>
        <w:t>.</w:t>
      </w:r>
      <w:r>
        <w:rPr>
          <w:rFonts w:ascii="Franklin Gothic Book" w:eastAsia="Calibri" w:hAnsi="Franklin Gothic Book"/>
          <w:lang w:eastAsia="nb-NO" w:bidi="ar-SA"/>
        </w:rPr>
        <w:t xml:space="preserve"> </w:t>
      </w:r>
      <w:r w:rsidR="00CB4C1B">
        <w:rPr>
          <w:rFonts w:ascii="Franklin Gothic Book" w:eastAsia="Calibri" w:hAnsi="Franklin Gothic Book"/>
          <w:lang w:eastAsia="nb-NO" w:bidi="ar-SA"/>
        </w:rPr>
        <w:t xml:space="preserve">In particular, </w:t>
      </w:r>
      <w:r>
        <w:rPr>
          <w:rFonts w:ascii="Franklin Gothic Book" w:eastAsia="Calibri" w:hAnsi="Franklin Gothic Book"/>
          <w:lang w:eastAsia="nb-NO" w:bidi="ar-SA"/>
        </w:rPr>
        <w:t xml:space="preserve">MSGs should </w:t>
      </w:r>
      <w:r w:rsidR="002E5374">
        <w:rPr>
          <w:rFonts w:ascii="Franklin Gothic Book" w:eastAsia="Calibri" w:hAnsi="Franklin Gothic Book"/>
          <w:lang w:eastAsia="nb-NO" w:bidi="ar-SA"/>
        </w:rPr>
        <w:t xml:space="preserve">seek to address </w:t>
      </w:r>
      <w:r>
        <w:rPr>
          <w:rFonts w:ascii="Franklin Gothic Book" w:eastAsia="Calibri" w:hAnsi="Franklin Gothic Book"/>
          <w:lang w:eastAsia="nb-NO" w:bidi="ar-SA"/>
        </w:rPr>
        <w:t>previous gaps identified in EITI Reports and Validation</w:t>
      </w:r>
      <w:r w:rsidR="002E5374">
        <w:rPr>
          <w:rFonts w:ascii="Franklin Gothic Book" w:eastAsia="Calibri" w:hAnsi="Franklin Gothic Book"/>
          <w:lang w:eastAsia="nb-NO" w:bidi="ar-SA"/>
        </w:rPr>
        <w:t>.</w:t>
      </w:r>
    </w:p>
    <w:p w14:paraId="37E86FDB" w14:textId="46C14567" w:rsidR="00867973" w:rsidRPr="00004866" w:rsidRDefault="00867973" w:rsidP="00867973">
      <w:pPr>
        <w:pStyle w:val="ListParagraph"/>
        <w:numPr>
          <w:ilvl w:val="0"/>
          <w:numId w:val="43"/>
        </w:numPr>
        <w:shd w:val="clear" w:color="auto" w:fill="FFFFFF"/>
        <w:tabs>
          <w:tab w:val="left" w:pos="426"/>
          <w:tab w:val="left" w:pos="709"/>
        </w:tabs>
        <w:spacing w:before="240" w:after="240" w:line="240" w:lineRule="auto"/>
        <w:jc w:val="left"/>
        <w:rPr>
          <w:rFonts w:ascii="Franklin Gothic Book" w:eastAsia="Calibri" w:hAnsi="Franklin Gothic Book"/>
          <w:lang w:eastAsia="nb-NO" w:bidi="ar-SA"/>
        </w:rPr>
      </w:pPr>
      <w:r w:rsidRPr="00643C03">
        <w:rPr>
          <w:rFonts w:ascii="Franklin Gothic Book" w:eastAsia="Calibri" w:hAnsi="Franklin Gothic Book"/>
          <w:b/>
          <w:bCs/>
          <w:lang w:eastAsia="nb-NO" w:bidi="ar-SA"/>
        </w:rPr>
        <w:t>Agree the fiscal year(s) to be covered by the disclosures</w:t>
      </w:r>
      <w:r>
        <w:rPr>
          <w:rFonts w:ascii="Franklin Gothic Book" w:eastAsia="Calibri" w:hAnsi="Franklin Gothic Book"/>
          <w:lang w:eastAsia="nb-NO" w:bidi="ar-SA"/>
        </w:rPr>
        <w:t xml:space="preserve">. </w:t>
      </w:r>
      <w:r w:rsidRPr="00625B47">
        <w:rPr>
          <w:rFonts w:ascii="Franklin Gothic Book" w:hAnsi="Franklin Gothic Book" w:cs="Calibri"/>
          <w:lang w:eastAsia="fr-FR" w:bidi="ar-SA"/>
        </w:rPr>
        <w:t xml:space="preserve">Revenue, production and other data </w:t>
      </w:r>
      <w:r w:rsidR="00625B47">
        <w:rPr>
          <w:rFonts w:ascii="Franklin Gothic Book" w:hAnsi="Franklin Gothic Book" w:cs="Calibri"/>
          <w:lang w:eastAsia="fr-FR" w:bidi="ar-SA"/>
        </w:rPr>
        <w:t>sho</w:t>
      </w:r>
      <w:r w:rsidRPr="00625B47">
        <w:rPr>
          <w:rFonts w:ascii="Franklin Gothic Book" w:hAnsi="Franklin Gothic Book" w:cs="Calibri"/>
          <w:lang w:eastAsia="fr-FR" w:bidi="ar-SA"/>
        </w:rPr>
        <w:t>uld cover fiscal year 20</w:t>
      </w:r>
      <w:r w:rsidR="00F90A6A">
        <w:rPr>
          <w:rFonts w:ascii="Franklin Gothic Book" w:hAnsi="Franklin Gothic Book" w:cs="Calibri"/>
          <w:lang w:eastAsia="fr-FR" w:bidi="ar-SA"/>
        </w:rPr>
        <w:t>20</w:t>
      </w:r>
      <w:r w:rsidRPr="00625B47">
        <w:rPr>
          <w:rFonts w:ascii="Franklin Gothic Book" w:hAnsi="Franklin Gothic Book" w:cs="Calibri"/>
          <w:lang w:eastAsia="fr-FR" w:bidi="ar-SA"/>
        </w:rPr>
        <w:t xml:space="preserve"> and to the extent possible </w:t>
      </w:r>
      <w:r w:rsidR="005E3233" w:rsidRPr="00625B47">
        <w:rPr>
          <w:rFonts w:ascii="Franklin Gothic Book" w:hAnsi="Franklin Gothic Book" w:cs="Calibri"/>
          <w:lang w:eastAsia="fr-FR" w:bidi="ar-SA"/>
        </w:rPr>
        <w:t>20</w:t>
      </w:r>
      <w:r w:rsidR="005E3233">
        <w:rPr>
          <w:rFonts w:ascii="Franklin Gothic Book" w:hAnsi="Franklin Gothic Book" w:cs="Calibri"/>
          <w:lang w:eastAsia="fr-FR" w:bidi="ar-SA"/>
        </w:rPr>
        <w:t>2</w:t>
      </w:r>
      <w:r w:rsidR="00F90A6A">
        <w:rPr>
          <w:rFonts w:ascii="Franklin Gothic Book" w:hAnsi="Franklin Gothic Book" w:cs="Calibri"/>
          <w:lang w:eastAsia="fr-FR" w:bidi="ar-SA"/>
        </w:rPr>
        <w:t>1</w:t>
      </w:r>
      <w:r w:rsidRPr="00625B47">
        <w:rPr>
          <w:rFonts w:ascii="Franklin Gothic Book" w:hAnsi="Franklin Gothic Book" w:cs="Calibri"/>
          <w:lang w:eastAsia="fr-FR" w:bidi="ar-SA"/>
        </w:rPr>
        <w:t>. Some countries may be able to provide information for 202</w:t>
      </w:r>
      <w:r w:rsidR="00F90A6A">
        <w:rPr>
          <w:rFonts w:ascii="Franklin Gothic Book" w:hAnsi="Franklin Gothic Book" w:cs="Calibri"/>
          <w:lang w:eastAsia="fr-FR" w:bidi="ar-SA"/>
        </w:rPr>
        <w:t>2</w:t>
      </w:r>
      <w:r w:rsidRPr="00625B47">
        <w:rPr>
          <w:rFonts w:ascii="Franklin Gothic Book" w:hAnsi="Franklin Gothic Book" w:cs="Calibri"/>
          <w:lang w:eastAsia="fr-FR" w:bidi="ar-SA"/>
        </w:rPr>
        <w:t>.</w:t>
      </w:r>
    </w:p>
    <w:p w14:paraId="4222650B" w14:textId="08EEBD62" w:rsidR="00C36D53" w:rsidRPr="00643C03" w:rsidRDefault="00C36D53" w:rsidP="006276D9">
      <w:pPr>
        <w:pStyle w:val="ListParagraph"/>
        <w:numPr>
          <w:ilvl w:val="0"/>
          <w:numId w:val="43"/>
        </w:numPr>
        <w:shd w:val="clear" w:color="auto" w:fill="FFFFFF"/>
        <w:tabs>
          <w:tab w:val="left" w:pos="426"/>
          <w:tab w:val="left" w:pos="709"/>
        </w:tabs>
        <w:spacing w:before="240" w:after="240" w:line="240" w:lineRule="auto"/>
        <w:jc w:val="left"/>
        <w:rPr>
          <w:rFonts w:ascii="Franklin Gothic Book" w:eastAsia="Calibri" w:hAnsi="Franklin Gothic Book"/>
          <w:lang w:eastAsia="nb-NO" w:bidi="ar-SA"/>
        </w:rPr>
      </w:pPr>
      <w:r w:rsidRPr="00643C03">
        <w:rPr>
          <w:rFonts w:ascii="Franklin Gothic Book" w:eastAsia="Calibri" w:hAnsi="Franklin Gothic Book"/>
          <w:b/>
          <w:bCs/>
          <w:lang w:eastAsia="nb-NO" w:bidi="ar-SA"/>
        </w:rPr>
        <w:t>Agree what constitutes a material revenue</w:t>
      </w:r>
      <w:r w:rsidR="00DE330F" w:rsidRPr="00643C03">
        <w:rPr>
          <w:rFonts w:ascii="Franklin Gothic Book" w:eastAsia="Calibri" w:hAnsi="Franklin Gothic Book"/>
          <w:b/>
          <w:bCs/>
          <w:lang w:eastAsia="nb-NO" w:bidi="ar-SA"/>
        </w:rPr>
        <w:t xml:space="preserve"> stream and which </w:t>
      </w:r>
      <w:r w:rsidR="00961B1C" w:rsidRPr="00961B1C">
        <w:rPr>
          <w:rFonts w:ascii="Franklin Gothic Book" w:eastAsia="Calibri" w:hAnsi="Franklin Gothic Book"/>
          <w:b/>
          <w:bCs/>
          <w:lang w:eastAsia="nb-NO" w:bidi="ar-SA"/>
        </w:rPr>
        <w:t>entities make and receive material payments</w:t>
      </w:r>
      <w:r w:rsidR="00DE330F" w:rsidRPr="00643C03">
        <w:rPr>
          <w:rFonts w:ascii="Franklin Gothic Book" w:eastAsia="Calibri" w:hAnsi="Franklin Gothic Book"/>
          <w:lang w:eastAsia="nb-NO" w:bidi="ar-SA"/>
        </w:rPr>
        <w:t xml:space="preserve">. </w:t>
      </w:r>
      <w:r w:rsidR="00961B1C" w:rsidRPr="00961B1C">
        <w:rPr>
          <w:rFonts w:ascii="Franklin Gothic Book" w:eastAsia="Calibri" w:hAnsi="Franklin Gothic Book"/>
          <w:lang w:eastAsia="nb-NO" w:bidi="ar-SA"/>
        </w:rPr>
        <w:t>In establishing materiality definitions and thresholds,</w:t>
      </w:r>
      <w:r w:rsidR="00961B1C">
        <w:rPr>
          <w:rFonts w:ascii="Franklin Gothic Book" w:eastAsia="Calibri" w:hAnsi="Franklin Gothic Book"/>
          <w:lang w:eastAsia="nb-NO" w:bidi="ar-SA"/>
        </w:rPr>
        <w:t xml:space="preserve"> </w:t>
      </w:r>
      <w:r w:rsidR="00961B1C" w:rsidRPr="00961B1C">
        <w:rPr>
          <w:rFonts w:ascii="Franklin Gothic Book" w:eastAsia="Calibri" w:hAnsi="Franklin Gothic Book"/>
          <w:lang w:eastAsia="nb-NO" w:bidi="ar-SA"/>
        </w:rPr>
        <w:t xml:space="preserve">the </w:t>
      </w:r>
      <w:r w:rsidR="00961B1C">
        <w:rPr>
          <w:rFonts w:ascii="Franklin Gothic Book" w:eastAsia="Calibri" w:hAnsi="Franklin Gothic Book"/>
          <w:lang w:eastAsia="nb-NO" w:bidi="ar-SA"/>
        </w:rPr>
        <w:t xml:space="preserve">MSG </w:t>
      </w:r>
      <w:r w:rsidR="00F43542">
        <w:rPr>
          <w:rFonts w:ascii="Franklin Gothic Book" w:eastAsia="Calibri" w:hAnsi="Franklin Gothic Book"/>
          <w:lang w:eastAsia="nb-NO" w:bidi="ar-SA"/>
        </w:rPr>
        <w:t>c</w:t>
      </w:r>
      <w:r w:rsidR="00961B1C" w:rsidRPr="00961B1C">
        <w:rPr>
          <w:rFonts w:ascii="Franklin Gothic Book" w:eastAsia="Calibri" w:hAnsi="Franklin Gothic Book"/>
          <w:lang w:eastAsia="nb-NO" w:bidi="ar-SA"/>
        </w:rPr>
        <w:t xml:space="preserve">ould consider the size of the revenue streams </w:t>
      </w:r>
      <w:r w:rsidR="00961B1C">
        <w:rPr>
          <w:rFonts w:ascii="Franklin Gothic Book" w:eastAsia="Calibri" w:hAnsi="Franklin Gothic Book"/>
          <w:lang w:eastAsia="nb-NO" w:bidi="ar-SA"/>
        </w:rPr>
        <w:t xml:space="preserve">and the payments by companies </w:t>
      </w:r>
      <w:r w:rsidR="00961B1C" w:rsidRPr="00961B1C">
        <w:rPr>
          <w:rFonts w:ascii="Franklin Gothic Book" w:eastAsia="Calibri" w:hAnsi="Franklin Gothic Book"/>
          <w:lang w:eastAsia="nb-NO" w:bidi="ar-SA"/>
        </w:rPr>
        <w:t xml:space="preserve">relative to </w:t>
      </w:r>
      <w:r w:rsidR="00961B1C">
        <w:rPr>
          <w:rFonts w:ascii="Franklin Gothic Book" w:eastAsia="Calibri" w:hAnsi="Franklin Gothic Book"/>
          <w:lang w:eastAsia="nb-NO" w:bidi="ar-SA"/>
        </w:rPr>
        <w:t xml:space="preserve">the governments </w:t>
      </w:r>
      <w:r w:rsidR="00961B1C" w:rsidRPr="00961B1C">
        <w:rPr>
          <w:rFonts w:ascii="Franklin Gothic Book" w:eastAsia="Calibri" w:hAnsi="Franklin Gothic Book"/>
          <w:lang w:eastAsia="nb-NO" w:bidi="ar-SA"/>
        </w:rPr>
        <w:t xml:space="preserve">total revenues. Payments and revenues are considered material if their omission or misstatement could significantly affect the comprehensiveness of the EITI Report. </w:t>
      </w:r>
      <w:r w:rsidR="00961B1C" w:rsidRPr="00643C03">
        <w:rPr>
          <w:rFonts w:ascii="Franklin Gothic Book" w:eastAsia="Calibri" w:hAnsi="Franklin Gothic Book"/>
          <w:lang w:eastAsia="nb-NO" w:bidi="ar-SA"/>
        </w:rPr>
        <w:t>MSGs may wish to use materiality thresholds used in previous reporting periods, or adjust these</w:t>
      </w:r>
      <w:r w:rsidR="00961B1C" w:rsidRPr="00961B1C">
        <w:rPr>
          <w:rFonts w:ascii="Franklin Gothic Book" w:eastAsia="Calibri" w:hAnsi="Franklin Gothic Book"/>
          <w:lang w:eastAsia="nb-NO" w:bidi="ar-SA"/>
        </w:rPr>
        <w:t xml:space="preserve"> to </w:t>
      </w:r>
      <w:r w:rsidR="00961B1C" w:rsidRPr="00961B1C">
        <w:rPr>
          <w:rFonts w:ascii="Franklin Gothic Book" w:eastAsia="Calibri" w:hAnsi="Franklin Gothic Book"/>
          <w:lang w:eastAsia="nb-NO" w:bidi="ar-SA"/>
        </w:rPr>
        <w:lastRenderedPageBreak/>
        <w:t>focus on the most important revenue streams and reporting entities. The MSG may wish to consult</w:t>
      </w:r>
      <w:r w:rsidR="001901E5">
        <w:rPr>
          <w:rFonts w:ascii="Franklin Gothic Book" w:eastAsia="Calibri" w:hAnsi="Franklin Gothic Book"/>
          <w:lang w:eastAsia="nb-NO" w:bidi="ar-SA"/>
        </w:rPr>
        <w:t xml:space="preserve"> guidance on defining materiality</w:t>
      </w:r>
      <w:r w:rsidR="00A95BE4">
        <w:rPr>
          <w:rFonts w:ascii="Franklin Gothic Book" w:eastAsia="Calibri" w:hAnsi="Franklin Gothic Book"/>
          <w:lang w:eastAsia="nb-NO" w:bidi="ar-SA"/>
        </w:rPr>
        <w:t xml:space="preserve"> or </w:t>
      </w:r>
      <w:r w:rsidR="001373D2">
        <w:rPr>
          <w:rFonts w:ascii="Franklin Gothic Book" w:eastAsia="Calibri" w:hAnsi="Franklin Gothic Book"/>
          <w:lang w:eastAsia="nb-NO" w:bidi="ar-SA"/>
        </w:rPr>
        <w:t>seek advice from the International Secretariat</w:t>
      </w:r>
      <w:r w:rsidR="00DE330F" w:rsidRPr="00643C03">
        <w:rPr>
          <w:rFonts w:ascii="Franklin Gothic Book" w:eastAsia="Calibri" w:hAnsi="Franklin Gothic Book"/>
          <w:lang w:eastAsia="nb-NO" w:bidi="ar-SA"/>
        </w:rPr>
        <w:t>.</w:t>
      </w:r>
      <w:r w:rsidR="00961B1C" w:rsidRPr="00643C03">
        <w:rPr>
          <w:rStyle w:val="FootnoteReference"/>
          <w:rFonts w:ascii="Franklin Gothic Book" w:eastAsia="Calibri" w:hAnsi="Franklin Gothic Book"/>
          <w:lang w:eastAsia="nb-NO" w:bidi="ar-SA"/>
        </w:rPr>
        <w:footnoteReference w:id="5"/>
      </w:r>
      <w:r w:rsidR="00DE330F" w:rsidRPr="00643C03">
        <w:rPr>
          <w:rFonts w:ascii="Franklin Gothic Book" w:eastAsia="Calibri" w:hAnsi="Franklin Gothic Book"/>
          <w:lang w:eastAsia="nb-NO" w:bidi="ar-SA"/>
        </w:rPr>
        <w:t xml:space="preserve"> </w:t>
      </w:r>
    </w:p>
    <w:p w14:paraId="0410AA6D" w14:textId="4AC1C32E" w:rsidR="002E5374" w:rsidRPr="006276D9" w:rsidRDefault="002E5374" w:rsidP="68CBBC64">
      <w:pPr>
        <w:pStyle w:val="ListParagraph"/>
        <w:numPr>
          <w:ilvl w:val="0"/>
          <w:numId w:val="43"/>
        </w:numPr>
        <w:shd w:val="clear" w:color="auto" w:fill="FFFFFF" w:themeFill="background1"/>
        <w:tabs>
          <w:tab w:val="left" w:pos="426"/>
          <w:tab w:val="left" w:pos="709"/>
        </w:tabs>
        <w:spacing w:before="240" w:after="240" w:line="240" w:lineRule="auto"/>
        <w:jc w:val="left"/>
        <w:rPr>
          <w:rFonts w:ascii="Franklin Gothic Book" w:eastAsia="Calibri" w:hAnsi="Franklin Gothic Book"/>
          <w:lang w:eastAsia="nb-NO" w:bidi="ar-SA"/>
        </w:rPr>
      </w:pPr>
      <w:r w:rsidRPr="68CBBC64">
        <w:rPr>
          <w:rFonts w:ascii="Franklin Gothic Book" w:eastAsia="Calibri" w:hAnsi="Franklin Gothic Book"/>
          <w:b/>
          <w:bCs/>
          <w:lang w:eastAsia="nb-NO" w:bidi="ar-SA"/>
        </w:rPr>
        <w:t>Agree the scope of additional data collection, assurances and analysis to be undertaken</w:t>
      </w:r>
      <w:r w:rsidR="004C0AC3" w:rsidRPr="68CBBC64">
        <w:rPr>
          <w:rFonts w:ascii="Franklin Gothic Book" w:eastAsia="Calibri" w:hAnsi="Franklin Gothic Book"/>
          <w:b/>
          <w:bCs/>
          <w:lang w:eastAsia="nb-NO" w:bidi="ar-SA"/>
        </w:rPr>
        <w:t>,</w:t>
      </w:r>
      <w:r w:rsidRPr="68CBBC64">
        <w:rPr>
          <w:rFonts w:ascii="Franklin Gothic Book" w:eastAsia="Calibri" w:hAnsi="Franklin Gothic Book"/>
          <w:lang w:eastAsia="nb-NO" w:bidi="ar-SA"/>
        </w:rPr>
        <w:t xml:space="preserve"> to provide</w:t>
      </w:r>
      <w:r w:rsidR="006276D9" w:rsidRPr="68CBBC64">
        <w:rPr>
          <w:rFonts w:ascii="Franklin Gothic Book" w:eastAsia="Calibri" w:hAnsi="Franklin Gothic Book"/>
          <w:lang w:eastAsia="nb-NO" w:bidi="ar-SA"/>
        </w:rPr>
        <w:t xml:space="preserve"> r</w:t>
      </w:r>
      <w:r w:rsidRPr="68CBBC64">
        <w:rPr>
          <w:rFonts w:ascii="Franklin Gothic Book" w:hAnsi="Franklin Gothic Book"/>
        </w:rPr>
        <w:t>elevant information on sector developments and industry outlook in light of C</w:t>
      </w:r>
      <w:r w:rsidR="1FADFB70" w:rsidRPr="68CBBC64">
        <w:rPr>
          <w:rFonts w:ascii="Franklin Gothic Book" w:hAnsi="Franklin Gothic Book"/>
        </w:rPr>
        <w:t>ovid</w:t>
      </w:r>
      <w:r w:rsidRPr="68CBBC64">
        <w:rPr>
          <w:rFonts w:ascii="Franklin Gothic Book" w:hAnsi="Franklin Gothic Book"/>
        </w:rPr>
        <w:t>-19 and the</w:t>
      </w:r>
      <w:r w:rsidR="00281D13">
        <w:t xml:space="preserve"> </w:t>
      </w:r>
      <w:r w:rsidR="005E3233">
        <w:rPr>
          <w:rFonts w:ascii="Franklin Gothic Book" w:hAnsi="Franklin Gothic Book"/>
        </w:rPr>
        <w:t>energy transition</w:t>
      </w:r>
      <w:r w:rsidRPr="68CBBC64">
        <w:rPr>
          <w:rFonts w:ascii="Franklin Gothic Book" w:hAnsi="Franklin Gothic Book"/>
        </w:rPr>
        <w:t xml:space="preserve"> </w:t>
      </w:r>
      <w:r w:rsidR="004C0AC3" w:rsidRPr="68CBBC64">
        <w:rPr>
          <w:rFonts w:ascii="Franklin Gothic Book" w:eastAsia="Calibri" w:hAnsi="Franklin Gothic Book"/>
          <w:lang w:eastAsia="nb-NO" w:bidi="ar-SA"/>
        </w:rPr>
        <w:t>(in accordance with the second column in Table 1).</w:t>
      </w:r>
    </w:p>
    <w:p w14:paraId="4900F7D8" w14:textId="57831895" w:rsidR="00FA4290" w:rsidRPr="00733CC3" w:rsidRDefault="00733CC3" w:rsidP="0010480C">
      <w:pPr>
        <w:shd w:val="clear" w:color="auto" w:fill="FFFFFF"/>
        <w:tabs>
          <w:tab w:val="left" w:pos="426"/>
          <w:tab w:val="left" w:pos="709"/>
        </w:tabs>
        <w:spacing w:before="240" w:after="240" w:line="240" w:lineRule="auto"/>
        <w:jc w:val="left"/>
        <w:rPr>
          <w:rFonts w:ascii="Franklin Gothic Book" w:eastAsia="Calibri" w:hAnsi="Franklin Gothic Book"/>
          <w:b/>
          <w:bCs/>
          <w:i/>
          <w:iCs/>
          <w:lang w:eastAsia="nb-NO" w:bidi="ar-SA"/>
        </w:rPr>
      </w:pPr>
      <w:r w:rsidRPr="00733CC3">
        <w:rPr>
          <w:rFonts w:ascii="Franklin Gothic Book" w:eastAsia="Calibri" w:hAnsi="Franklin Gothic Book"/>
          <w:b/>
          <w:bCs/>
          <w:i/>
          <w:iCs/>
          <w:lang w:eastAsia="nb-NO" w:bidi="ar-SA"/>
        </w:rPr>
        <w:t>Table 1 –</w:t>
      </w:r>
      <w:r>
        <w:rPr>
          <w:rFonts w:ascii="Franklin Gothic Book" w:eastAsia="Calibri" w:hAnsi="Franklin Gothic Book"/>
          <w:b/>
          <w:bCs/>
          <w:i/>
          <w:iCs/>
          <w:lang w:eastAsia="nb-NO" w:bidi="ar-SA"/>
        </w:rPr>
        <w:t xml:space="preserve"> </w:t>
      </w:r>
      <w:r w:rsidRPr="00733CC3">
        <w:rPr>
          <w:rFonts w:ascii="Franklin Gothic Book" w:eastAsia="Calibri" w:hAnsi="Franklin Gothic Book"/>
          <w:b/>
          <w:bCs/>
          <w:i/>
          <w:iCs/>
          <w:lang w:eastAsia="nb-NO" w:bidi="ar-SA"/>
        </w:rPr>
        <w:t>Information to be disclosed or provided in the EITI Report</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699"/>
      </w:tblGrid>
      <w:tr w:rsidR="00871094" w:rsidRPr="00233966" w14:paraId="63B9F19A" w14:textId="77777777" w:rsidTr="68CBBC64">
        <w:tc>
          <w:tcPr>
            <w:tcW w:w="2977" w:type="dxa"/>
            <w:shd w:val="clear" w:color="auto" w:fill="D9D9D9" w:themeFill="background1" w:themeFillShade="D9"/>
          </w:tcPr>
          <w:p w14:paraId="70AC2048" w14:textId="7ECEA7ED" w:rsidR="00871094" w:rsidRPr="00FD1ABC" w:rsidRDefault="00871094" w:rsidP="00B42278">
            <w:pPr>
              <w:tabs>
                <w:tab w:val="left" w:pos="426"/>
                <w:tab w:val="left" w:pos="709"/>
              </w:tabs>
              <w:spacing w:before="240" w:after="240" w:line="240" w:lineRule="auto"/>
              <w:jc w:val="left"/>
              <w:rPr>
                <w:rFonts w:ascii="Franklin Gothic Book" w:hAnsi="Franklin Gothic Book" w:cs="Calibri"/>
                <w:b/>
                <w:color w:val="000000" w:themeColor="text1"/>
                <w:lang w:eastAsia="fr-FR" w:bidi="ar-SA"/>
              </w:rPr>
            </w:pPr>
            <w:r>
              <w:rPr>
                <w:rFonts w:ascii="Franklin Gothic Book" w:hAnsi="Franklin Gothic Book" w:cs="Calibri"/>
                <w:b/>
                <w:color w:val="000000" w:themeColor="text1"/>
                <w:lang w:eastAsia="fr-FR" w:bidi="ar-SA"/>
              </w:rPr>
              <w:t>I</w:t>
            </w:r>
            <w:r w:rsidRPr="00FD1ABC">
              <w:rPr>
                <w:rFonts w:ascii="Franklin Gothic Book" w:hAnsi="Franklin Gothic Book" w:cs="Calibri"/>
                <w:b/>
                <w:color w:val="000000" w:themeColor="text1"/>
                <w:lang w:eastAsia="fr-FR" w:bidi="ar-SA"/>
              </w:rPr>
              <w:t xml:space="preserve">nformation to be </w:t>
            </w:r>
            <w:r w:rsidR="00733CC3">
              <w:rPr>
                <w:rFonts w:ascii="Franklin Gothic Book" w:hAnsi="Franklin Gothic Book" w:cs="Calibri"/>
                <w:b/>
                <w:color w:val="000000" w:themeColor="text1"/>
                <w:lang w:eastAsia="fr-FR" w:bidi="ar-SA"/>
              </w:rPr>
              <w:t xml:space="preserve">disclosed or </w:t>
            </w:r>
            <w:r w:rsidRPr="00FD1ABC">
              <w:rPr>
                <w:rFonts w:ascii="Franklin Gothic Book" w:hAnsi="Franklin Gothic Book" w:cs="Calibri"/>
                <w:b/>
                <w:color w:val="000000" w:themeColor="text1"/>
                <w:lang w:eastAsia="fr-FR" w:bidi="ar-SA"/>
              </w:rPr>
              <w:t>provided in the EITI Report</w:t>
            </w:r>
            <w:r>
              <w:rPr>
                <w:rStyle w:val="FootnoteReference"/>
                <w:rFonts w:ascii="Franklin Gothic Book" w:hAnsi="Franklin Gothic Book" w:cs="Calibri"/>
                <w:b/>
                <w:color w:val="000000" w:themeColor="text1"/>
                <w:lang w:eastAsia="fr-FR" w:bidi="ar-SA"/>
              </w:rPr>
              <w:footnoteReference w:id="6"/>
            </w:r>
          </w:p>
        </w:tc>
        <w:tc>
          <w:tcPr>
            <w:tcW w:w="5699" w:type="dxa"/>
            <w:shd w:val="clear" w:color="auto" w:fill="D9D9D9" w:themeFill="background1" w:themeFillShade="D9"/>
          </w:tcPr>
          <w:p w14:paraId="165F5E86" w14:textId="464F307E" w:rsidR="00871094" w:rsidRPr="00FD1ABC" w:rsidRDefault="0046156F" w:rsidP="00B42278">
            <w:pPr>
              <w:tabs>
                <w:tab w:val="left" w:pos="426"/>
                <w:tab w:val="left" w:pos="709"/>
              </w:tabs>
              <w:spacing w:before="240" w:after="240" w:line="240" w:lineRule="auto"/>
              <w:jc w:val="left"/>
              <w:rPr>
                <w:rFonts w:ascii="Franklin Gothic Book" w:hAnsi="Franklin Gothic Book" w:cs="Calibri"/>
                <w:b/>
                <w:color w:val="000000" w:themeColor="text1"/>
                <w:lang w:eastAsia="fr-FR" w:bidi="ar-SA"/>
              </w:rPr>
            </w:pPr>
            <w:r>
              <w:rPr>
                <w:rFonts w:ascii="Franklin Gothic Book" w:hAnsi="Franklin Gothic Book" w:cs="Calibri"/>
                <w:b/>
                <w:color w:val="000000" w:themeColor="text1"/>
                <w:lang w:eastAsia="fr-FR" w:bidi="ar-SA"/>
              </w:rPr>
              <w:t>Additional d</w:t>
            </w:r>
            <w:r w:rsidR="00871094">
              <w:rPr>
                <w:rFonts w:ascii="Franklin Gothic Book" w:hAnsi="Franklin Gothic Book" w:cs="Calibri"/>
                <w:b/>
                <w:color w:val="000000" w:themeColor="text1"/>
                <w:lang w:eastAsia="fr-FR" w:bidi="ar-SA"/>
              </w:rPr>
              <w:t xml:space="preserve">ata collection, quality assurances and analysis </w:t>
            </w:r>
            <w:r w:rsidR="00871094" w:rsidRPr="00FD1ABC">
              <w:rPr>
                <w:rFonts w:ascii="Franklin Gothic Book" w:hAnsi="Franklin Gothic Book" w:cs="Calibri"/>
                <w:b/>
                <w:color w:val="000000" w:themeColor="text1"/>
                <w:lang w:eastAsia="fr-FR" w:bidi="ar-SA"/>
              </w:rPr>
              <w:t>to be undertaken</w:t>
            </w:r>
            <w:r w:rsidR="00871094">
              <w:rPr>
                <w:rFonts w:ascii="Franklin Gothic Book" w:hAnsi="Franklin Gothic Book" w:cs="Calibri"/>
                <w:b/>
                <w:color w:val="000000" w:themeColor="text1"/>
                <w:lang w:eastAsia="fr-FR" w:bidi="ar-SA"/>
              </w:rPr>
              <w:t>, in accordance with objectives agreed by the MSG</w:t>
            </w:r>
          </w:p>
        </w:tc>
      </w:tr>
      <w:tr w:rsidR="00871094" w:rsidRPr="00233966" w14:paraId="4D8C8BC8" w14:textId="77777777" w:rsidTr="68CBBC64">
        <w:tc>
          <w:tcPr>
            <w:tcW w:w="2977" w:type="dxa"/>
            <w:shd w:val="clear" w:color="auto" w:fill="auto"/>
          </w:tcPr>
          <w:p w14:paraId="6F768040" w14:textId="77777777" w:rsidR="00871094" w:rsidRPr="00FD1ABC" w:rsidRDefault="00871094" w:rsidP="00B42278">
            <w:pPr>
              <w:tabs>
                <w:tab w:val="left" w:pos="426"/>
                <w:tab w:val="left" w:pos="709"/>
              </w:tabs>
              <w:spacing w:before="120" w:after="120" w:line="240" w:lineRule="exact"/>
              <w:jc w:val="left"/>
              <w:rPr>
                <w:rFonts w:ascii="Franklin Gothic Book" w:hAnsi="Franklin Gothic Book" w:cs="Calibri"/>
                <w:color w:val="000000" w:themeColor="text1"/>
                <w:lang w:eastAsia="fr-FR" w:bidi="ar-SA"/>
              </w:rPr>
            </w:pPr>
            <w:r w:rsidRPr="00FD1ABC">
              <w:rPr>
                <w:rFonts w:ascii="Franklin Gothic Book" w:hAnsi="Franklin Gothic Book" w:cs="Calibri"/>
                <w:color w:val="000000" w:themeColor="text1"/>
                <w:lang w:eastAsia="fr-FR" w:bidi="ar-SA"/>
              </w:rPr>
              <w:t>Legal framework and fiscal regime in accordance with EITI Requirement 2.1.</w:t>
            </w:r>
          </w:p>
        </w:tc>
        <w:tc>
          <w:tcPr>
            <w:tcW w:w="5699" w:type="dxa"/>
          </w:tcPr>
          <w:p w14:paraId="3A0CAD61" w14:textId="66D5FBE0" w:rsidR="00733CC3" w:rsidRPr="00883CCA" w:rsidRDefault="00733CC3" w:rsidP="00733CC3">
            <w:pPr>
              <w:tabs>
                <w:tab w:val="left" w:pos="426"/>
                <w:tab w:val="left" w:pos="709"/>
              </w:tabs>
              <w:spacing w:before="120" w:after="120" w:line="240" w:lineRule="exact"/>
              <w:jc w:val="left"/>
              <w:rPr>
                <w:rFonts w:ascii="Franklin Gothic Book" w:hAnsi="Franklin Gothic Book" w:cs="Calibri"/>
                <w:color w:val="00B0F0"/>
                <w:lang w:eastAsia="fr-FR" w:bidi="ar-SA"/>
              </w:rPr>
            </w:pPr>
            <w:r w:rsidRPr="00883CCA">
              <w:rPr>
                <w:rFonts w:ascii="Franklin Gothic Book" w:hAnsi="Franklin Gothic Book" w:cs="Calibri"/>
                <w:color w:val="00B0F0"/>
                <w:lang w:eastAsia="fr-FR" w:bidi="ar-SA"/>
              </w:rPr>
              <w:t xml:space="preserve">The MSG could consider </w:t>
            </w:r>
            <w:r w:rsidR="0073165D">
              <w:rPr>
                <w:rFonts w:ascii="Franklin Gothic Book" w:hAnsi="Franklin Gothic Book" w:cs="Calibri"/>
                <w:color w:val="00B0F0"/>
                <w:lang w:eastAsia="fr-FR" w:bidi="ar-SA"/>
              </w:rPr>
              <w:t xml:space="preserve">also </w:t>
            </w:r>
            <w:r w:rsidRPr="00883CCA">
              <w:rPr>
                <w:rFonts w:ascii="Franklin Gothic Book" w:hAnsi="Franklin Gothic Book" w:cs="Calibri"/>
                <w:color w:val="00B0F0"/>
                <w:lang w:eastAsia="fr-FR" w:bidi="ar-SA"/>
              </w:rPr>
              <w:t>covering:</w:t>
            </w:r>
          </w:p>
          <w:p w14:paraId="559073DC" w14:textId="1E47351E" w:rsidR="00733CC3" w:rsidRPr="00883CCA" w:rsidRDefault="004E76B0" w:rsidP="00733CC3">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lang w:eastAsia="fr-FR" w:bidi="ar-SA"/>
              </w:rPr>
            </w:pPr>
            <w:r w:rsidRPr="68CBBC64">
              <w:rPr>
                <w:rFonts w:ascii="Franklin Gothic Book" w:hAnsi="Franklin Gothic Book" w:cs="Calibri"/>
                <w:color w:val="00B0F0"/>
                <w:lang w:eastAsia="fr-FR" w:bidi="ar-SA"/>
              </w:rPr>
              <w:t>Legal or regulatory changes</w:t>
            </w:r>
            <w:r w:rsidR="008F582B">
              <w:rPr>
                <w:rFonts w:ascii="Franklin Gothic Book" w:hAnsi="Franklin Gothic Book" w:cs="Calibri"/>
                <w:color w:val="00B0F0"/>
                <w:lang w:eastAsia="fr-FR" w:bidi="ar-SA"/>
              </w:rPr>
              <w:t xml:space="preserve"> </w:t>
            </w:r>
            <w:r w:rsidRPr="68CBBC64">
              <w:rPr>
                <w:rFonts w:ascii="Franklin Gothic Book" w:hAnsi="Franklin Gothic Book" w:cs="Calibri"/>
                <w:color w:val="00B0F0"/>
                <w:lang w:eastAsia="fr-FR" w:bidi="ar-SA"/>
              </w:rPr>
              <w:t xml:space="preserve">in response to </w:t>
            </w:r>
            <w:r w:rsidR="00733CC3" w:rsidRPr="68CBBC64">
              <w:rPr>
                <w:rFonts w:ascii="Franklin Gothic Book" w:hAnsi="Franklin Gothic Book" w:cs="Calibri"/>
                <w:color w:val="00B0F0"/>
                <w:lang w:eastAsia="fr-FR" w:bidi="ar-SA"/>
              </w:rPr>
              <w:t>C</w:t>
            </w:r>
            <w:r w:rsidR="3959C7C8" w:rsidRPr="68CBBC64">
              <w:rPr>
                <w:rFonts w:ascii="Franklin Gothic Book" w:hAnsi="Franklin Gothic Book" w:cs="Calibri"/>
                <w:color w:val="00B0F0"/>
                <w:lang w:eastAsia="fr-FR" w:bidi="ar-SA"/>
              </w:rPr>
              <w:t>ovid</w:t>
            </w:r>
            <w:r w:rsidR="00733CC3" w:rsidRPr="68CBBC64">
              <w:rPr>
                <w:rFonts w:ascii="Franklin Gothic Book" w:hAnsi="Franklin Gothic Book" w:cs="Calibri"/>
                <w:color w:val="00B0F0"/>
                <w:lang w:eastAsia="fr-FR" w:bidi="ar-SA"/>
              </w:rPr>
              <w:t>-19</w:t>
            </w:r>
            <w:r w:rsidR="008F582B">
              <w:rPr>
                <w:rFonts w:ascii="Franklin Gothic Book" w:hAnsi="Franklin Gothic Book" w:cs="Calibri"/>
                <w:color w:val="00B0F0"/>
                <w:lang w:eastAsia="fr-FR" w:bidi="ar-SA"/>
              </w:rPr>
              <w:t xml:space="preserve"> or the energy transition</w:t>
            </w:r>
          </w:p>
          <w:p w14:paraId="63F885B9" w14:textId="77777777" w:rsidR="00733CC3" w:rsidRDefault="004E76B0" w:rsidP="00B42278">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lang w:eastAsia="fr-FR" w:bidi="ar-SA"/>
              </w:rPr>
            </w:pPr>
            <w:r w:rsidRPr="00883CCA">
              <w:rPr>
                <w:rFonts w:ascii="Franklin Gothic Book" w:hAnsi="Franklin Gothic Book" w:cs="Calibri"/>
                <w:color w:val="00B0F0"/>
                <w:lang w:eastAsia="fr-FR" w:bidi="ar-SA"/>
              </w:rPr>
              <w:t xml:space="preserve">Adjustments to </w:t>
            </w:r>
            <w:r w:rsidR="00733CC3" w:rsidRPr="00883CCA">
              <w:rPr>
                <w:rFonts w:ascii="Franklin Gothic Book" w:hAnsi="Franklin Gothic Book" w:cs="Calibri"/>
                <w:color w:val="00B0F0"/>
                <w:lang w:eastAsia="fr-FR" w:bidi="ar-SA"/>
              </w:rPr>
              <w:t xml:space="preserve">the </w:t>
            </w:r>
            <w:r w:rsidRPr="00883CCA">
              <w:rPr>
                <w:rFonts w:ascii="Franklin Gothic Book" w:hAnsi="Franklin Gothic Book" w:cs="Calibri"/>
                <w:color w:val="00B0F0"/>
                <w:lang w:eastAsia="fr-FR" w:bidi="ar-SA"/>
              </w:rPr>
              <w:t>fiscal regime, incentives or relief requested by or given to companies</w:t>
            </w:r>
            <w:r w:rsidR="008F582B">
              <w:rPr>
                <w:rFonts w:ascii="Franklin Gothic Book" w:hAnsi="Franklin Gothic Book" w:cs="Calibri"/>
                <w:color w:val="00B0F0"/>
                <w:lang w:eastAsia="fr-FR" w:bidi="ar-SA"/>
              </w:rPr>
              <w:t xml:space="preserve"> </w:t>
            </w:r>
            <w:r w:rsidR="00AB72C0" w:rsidRPr="00883CCA">
              <w:rPr>
                <w:rFonts w:ascii="Franklin Gothic Book" w:hAnsi="Franklin Gothic Book" w:cs="Calibri"/>
                <w:color w:val="00B0F0"/>
                <w:lang w:eastAsia="fr-FR" w:bidi="ar-SA"/>
              </w:rPr>
              <w:t>(e.g. force majeure, modified consultation)</w:t>
            </w:r>
          </w:p>
          <w:p w14:paraId="30231940" w14:textId="18D31E66" w:rsidR="0044577E" w:rsidRPr="00883CCA" w:rsidRDefault="0044577E" w:rsidP="00B42278">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lang w:eastAsia="fr-FR" w:bidi="ar-SA"/>
              </w:rPr>
            </w:pPr>
            <w:r>
              <w:rPr>
                <w:rFonts w:ascii="Franklin Gothic Book" w:hAnsi="Franklin Gothic Book" w:cs="Calibri"/>
                <w:color w:val="00B0F0"/>
                <w:lang w:eastAsia="fr-FR" w:bidi="ar-SA"/>
              </w:rPr>
              <w:t>Energy transition or critical minerals policies developed by the government or Nationally Determined Contribution (NDC) commitments related to the extractive industries</w:t>
            </w:r>
          </w:p>
        </w:tc>
      </w:tr>
      <w:tr w:rsidR="00871094" w:rsidRPr="00233966" w14:paraId="364AA176" w14:textId="77777777" w:rsidTr="68CBBC64">
        <w:tc>
          <w:tcPr>
            <w:tcW w:w="2977" w:type="dxa"/>
            <w:shd w:val="clear" w:color="auto" w:fill="auto"/>
          </w:tcPr>
          <w:p w14:paraId="23DB6833" w14:textId="5DD6738E" w:rsidR="00871094" w:rsidRPr="00FD1ABC" w:rsidRDefault="00871094" w:rsidP="00B42278">
            <w:pPr>
              <w:tabs>
                <w:tab w:val="left" w:pos="426"/>
                <w:tab w:val="left" w:pos="709"/>
              </w:tabs>
              <w:spacing w:before="120" w:after="120" w:line="240" w:lineRule="exact"/>
              <w:jc w:val="left"/>
              <w:rPr>
                <w:rFonts w:ascii="Franklin Gothic Book" w:hAnsi="Franklin Gothic Book" w:cs="Calibri"/>
                <w:color w:val="000000" w:themeColor="text1"/>
                <w:lang w:eastAsia="fr-FR" w:bidi="ar-SA"/>
              </w:rPr>
            </w:pPr>
            <w:r w:rsidRPr="00FD1ABC">
              <w:rPr>
                <w:rFonts w:ascii="Franklin Gothic Book" w:hAnsi="Franklin Gothic Book" w:cs="Calibri"/>
                <w:color w:val="000000" w:themeColor="text1"/>
                <w:lang w:eastAsia="fr-FR" w:bidi="ar-SA"/>
              </w:rPr>
              <w:t>Information about</w:t>
            </w:r>
            <w:r>
              <w:rPr>
                <w:rFonts w:ascii="Franklin Gothic Book" w:hAnsi="Franklin Gothic Book" w:cs="Calibri"/>
                <w:color w:val="000000" w:themeColor="text1"/>
                <w:lang w:eastAsia="fr-FR" w:bidi="ar-SA"/>
              </w:rPr>
              <w:t xml:space="preserve"> procedures and practice of </w:t>
            </w:r>
            <w:r w:rsidRPr="00FD1ABC">
              <w:rPr>
                <w:rFonts w:ascii="Franklin Gothic Book" w:hAnsi="Franklin Gothic Book" w:cs="Calibri"/>
                <w:color w:val="000000" w:themeColor="text1"/>
                <w:lang w:eastAsia="fr-FR" w:bidi="ar-SA"/>
              </w:rPr>
              <w:t>allocati</w:t>
            </w:r>
            <w:r>
              <w:rPr>
                <w:rFonts w:ascii="Franklin Gothic Book" w:hAnsi="Franklin Gothic Book" w:cs="Calibri"/>
                <w:color w:val="000000" w:themeColor="text1"/>
                <w:lang w:eastAsia="fr-FR" w:bidi="ar-SA"/>
              </w:rPr>
              <w:t xml:space="preserve">ng </w:t>
            </w:r>
            <w:r w:rsidRPr="00FD1ABC">
              <w:rPr>
                <w:rFonts w:ascii="Franklin Gothic Book" w:hAnsi="Franklin Gothic Book" w:cs="Calibri"/>
                <w:color w:val="000000" w:themeColor="text1"/>
                <w:lang w:eastAsia="fr-FR" w:bidi="ar-SA"/>
              </w:rPr>
              <w:t>licenses in accordance with EITI Requirement 2.2.</w:t>
            </w:r>
            <w:r w:rsidRPr="00FD1ABC">
              <w:rPr>
                <w:rStyle w:val="FootnoteReference"/>
                <w:rFonts w:ascii="Franklin Gothic Book" w:hAnsi="Franklin Gothic Book" w:cs="Calibri"/>
                <w:color w:val="000000" w:themeColor="text1"/>
                <w:lang w:eastAsia="fr-FR" w:bidi="ar-SA"/>
              </w:rPr>
              <w:footnoteReference w:id="7"/>
            </w:r>
            <w:r>
              <w:rPr>
                <w:rFonts w:ascii="Franklin Gothic Book" w:hAnsi="Franklin Gothic Book" w:cs="Calibri"/>
                <w:color w:val="000000" w:themeColor="text1"/>
                <w:lang w:eastAsia="fr-FR" w:bidi="ar-SA"/>
              </w:rPr>
              <w:t xml:space="preserve">, </w:t>
            </w:r>
          </w:p>
        </w:tc>
        <w:tc>
          <w:tcPr>
            <w:tcW w:w="5699" w:type="dxa"/>
          </w:tcPr>
          <w:p w14:paraId="74069E38" w14:textId="53151D8E" w:rsidR="004E76B0" w:rsidRPr="00883CCA" w:rsidRDefault="00733CC3" w:rsidP="00B42278">
            <w:pPr>
              <w:tabs>
                <w:tab w:val="left" w:pos="426"/>
                <w:tab w:val="left" w:pos="709"/>
              </w:tabs>
              <w:spacing w:before="120" w:after="120" w:line="240" w:lineRule="exact"/>
              <w:jc w:val="left"/>
              <w:rPr>
                <w:rFonts w:ascii="Franklin Gothic Book" w:hAnsi="Franklin Gothic Book" w:cs="Calibri"/>
                <w:color w:val="00B0F0"/>
                <w:lang w:eastAsia="fr-FR" w:bidi="ar-SA"/>
              </w:rPr>
            </w:pPr>
            <w:r w:rsidRPr="00883CCA">
              <w:rPr>
                <w:rFonts w:ascii="Franklin Gothic Book" w:hAnsi="Franklin Gothic Book" w:cs="Calibri"/>
                <w:color w:val="00B0F0"/>
                <w:lang w:eastAsia="fr-FR" w:bidi="ar-SA"/>
              </w:rPr>
              <w:t xml:space="preserve">The MSG could consider </w:t>
            </w:r>
            <w:r w:rsidR="0073165D">
              <w:rPr>
                <w:rFonts w:ascii="Franklin Gothic Book" w:hAnsi="Franklin Gothic Book" w:cs="Calibri"/>
                <w:color w:val="00B0F0"/>
                <w:lang w:eastAsia="fr-FR" w:bidi="ar-SA"/>
              </w:rPr>
              <w:t xml:space="preserve">also </w:t>
            </w:r>
            <w:r w:rsidRPr="00883CCA">
              <w:rPr>
                <w:rFonts w:ascii="Franklin Gothic Book" w:hAnsi="Franklin Gothic Book" w:cs="Calibri"/>
                <w:color w:val="00B0F0"/>
                <w:lang w:eastAsia="fr-FR" w:bidi="ar-SA"/>
              </w:rPr>
              <w:t>covering:</w:t>
            </w:r>
          </w:p>
          <w:p w14:paraId="5BD117B8" w14:textId="315B5BA2" w:rsidR="00072803" w:rsidRDefault="00072803" w:rsidP="007C4885">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lang w:eastAsia="fr-FR" w:bidi="ar-SA"/>
              </w:rPr>
            </w:pPr>
            <w:r w:rsidRPr="00072803">
              <w:rPr>
                <w:rFonts w:ascii="Franklin Gothic Book" w:hAnsi="Franklin Gothic Book" w:cs="Calibri"/>
                <w:color w:val="00B0F0"/>
                <w:lang w:eastAsia="fr-FR" w:bidi="ar-SA"/>
              </w:rPr>
              <w:t xml:space="preserve">Any new licence/contract awarded or transferred </w:t>
            </w:r>
            <w:r w:rsidRPr="002141B5">
              <w:rPr>
                <w:rFonts w:ascii="Franklin Gothic Book" w:hAnsi="Franklin Gothic Book" w:cs="Calibri"/>
                <w:color w:val="00B0F0"/>
                <w:lang w:eastAsia="fr-FR" w:bidi="ar-SA"/>
              </w:rPr>
              <w:t>in 20</w:t>
            </w:r>
            <w:r w:rsidR="00971618">
              <w:rPr>
                <w:rFonts w:ascii="Franklin Gothic Book" w:hAnsi="Franklin Gothic Book" w:cs="Calibri"/>
                <w:color w:val="00B0F0"/>
                <w:lang w:eastAsia="fr-FR" w:bidi="ar-SA"/>
              </w:rPr>
              <w:t>20</w:t>
            </w:r>
            <w:r w:rsidRPr="002141B5">
              <w:rPr>
                <w:rFonts w:ascii="Franklin Gothic Book" w:hAnsi="Franklin Gothic Book" w:cs="Calibri"/>
                <w:color w:val="00B0F0"/>
                <w:lang w:eastAsia="fr-FR" w:bidi="ar-SA"/>
              </w:rPr>
              <w:t xml:space="preserve"> and 20</w:t>
            </w:r>
            <w:r w:rsidR="0044577E">
              <w:rPr>
                <w:rFonts w:ascii="Franklin Gothic Book" w:hAnsi="Franklin Gothic Book" w:cs="Calibri"/>
                <w:color w:val="00B0F0"/>
                <w:lang w:eastAsia="fr-FR" w:bidi="ar-SA"/>
              </w:rPr>
              <w:t>2</w:t>
            </w:r>
            <w:r w:rsidR="00971618">
              <w:rPr>
                <w:rFonts w:ascii="Franklin Gothic Book" w:hAnsi="Franklin Gothic Book" w:cs="Calibri"/>
                <w:color w:val="00B0F0"/>
                <w:lang w:eastAsia="fr-FR" w:bidi="ar-SA"/>
              </w:rPr>
              <w:t>1</w:t>
            </w:r>
            <w:r w:rsidRPr="002141B5">
              <w:rPr>
                <w:rFonts w:ascii="Franklin Gothic Book" w:hAnsi="Franklin Gothic Book" w:cs="Calibri"/>
                <w:color w:val="00B0F0"/>
                <w:lang w:eastAsia="fr-FR" w:bidi="ar-SA"/>
              </w:rPr>
              <w:t>. Some countries may be able to provide information for early 202</w:t>
            </w:r>
            <w:r w:rsidR="00971618">
              <w:rPr>
                <w:rFonts w:ascii="Franklin Gothic Book" w:hAnsi="Franklin Gothic Book" w:cs="Calibri"/>
                <w:color w:val="00B0F0"/>
                <w:lang w:eastAsia="fr-FR" w:bidi="ar-SA"/>
              </w:rPr>
              <w:t>2</w:t>
            </w:r>
          </w:p>
          <w:p w14:paraId="07682937" w14:textId="0BBFD11C" w:rsidR="007A6039" w:rsidRDefault="00733CC3" w:rsidP="007C4885">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lang w:eastAsia="fr-FR" w:bidi="ar-SA"/>
              </w:rPr>
            </w:pPr>
            <w:r w:rsidRPr="00883CCA">
              <w:rPr>
                <w:rFonts w:ascii="Franklin Gothic Book" w:hAnsi="Franklin Gothic Book" w:cs="Calibri"/>
                <w:color w:val="00B0F0"/>
                <w:lang w:eastAsia="fr-FR" w:bidi="ar-SA"/>
              </w:rPr>
              <w:t>Delays or postponements of license or contracts awards</w:t>
            </w:r>
            <w:r w:rsidR="00971618">
              <w:rPr>
                <w:rFonts w:ascii="Franklin Gothic Book" w:hAnsi="Franklin Gothic Book" w:cs="Calibri"/>
                <w:color w:val="00B0F0"/>
                <w:lang w:eastAsia="fr-FR" w:bidi="ar-SA"/>
              </w:rPr>
              <w:t xml:space="preserve"> or extensions of existing licenses</w:t>
            </w:r>
          </w:p>
          <w:p w14:paraId="726DE65D" w14:textId="23CF0D04" w:rsidR="0044577E" w:rsidRDefault="0044577E" w:rsidP="007C4885">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lang w:eastAsia="fr-FR" w:bidi="ar-SA"/>
              </w:rPr>
            </w:pPr>
            <w:r>
              <w:rPr>
                <w:rFonts w:ascii="Franklin Gothic Book" w:hAnsi="Franklin Gothic Book" w:cs="Calibri"/>
                <w:color w:val="00B0F0"/>
                <w:lang w:eastAsia="fr-FR" w:bidi="ar-SA"/>
              </w:rPr>
              <w:t>Analysis on trends in license awards for fossil fuel or critical minerals projects in light of the energy transition</w:t>
            </w:r>
            <w:r w:rsidR="00E30D88">
              <w:rPr>
                <w:rFonts w:ascii="Franklin Gothic Book" w:hAnsi="Franklin Gothic Book" w:cs="Calibri"/>
                <w:color w:val="00B0F0"/>
                <w:lang w:eastAsia="fr-FR" w:bidi="ar-SA"/>
              </w:rPr>
              <w:t>.</w:t>
            </w:r>
          </w:p>
          <w:p w14:paraId="33393FA0" w14:textId="44036DFC" w:rsidR="00281D13" w:rsidRPr="007C4885" w:rsidRDefault="00281D13" w:rsidP="00072803">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lang w:eastAsia="fr-FR" w:bidi="ar-SA"/>
              </w:rPr>
            </w:pPr>
          </w:p>
        </w:tc>
      </w:tr>
      <w:tr w:rsidR="00D00857" w:rsidRPr="00233966" w14:paraId="403CCD8E" w14:textId="77777777" w:rsidTr="68CBBC64">
        <w:tc>
          <w:tcPr>
            <w:tcW w:w="2977" w:type="dxa"/>
            <w:shd w:val="clear" w:color="auto" w:fill="auto"/>
          </w:tcPr>
          <w:p w14:paraId="395DC898" w14:textId="0682218E" w:rsidR="00D00857" w:rsidRPr="00FD1ABC" w:rsidRDefault="00D00857" w:rsidP="00B42278">
            <w:pPr>
              <w:tabs>
                <w:tab w:val="left" w:pos="426"/>
                <w:tab w:val="left" w:pos="709"/>
              </w:tabs>
              <w:spacing w:before="120" w:after="120" w:line="240" w:lineRule="exact"/>
              <w:jc w:val="left"/>
              <w:rPr>
                <w:rFonts w:ascii="Franklin Gothic Book" w:hAnsi="Franklin Gothic Book" w:cs="Calibri"/>
                <w:color w:val="000000" w:themeColor="text1"/>
                <w:lang w:eastAsia="fr-FR" w:bidi="ar-SA"/>
              </w:rPr>
            </w:pPr>
            <w:r>
              <w:rPr>
                <w:rFonts w:ascii="Franklin Gothic Book" w:hAnsi="Franklin Gothic Book" w:cs="Calibri"/>
                <w:color w:val="000000" w:themeColor="text1"/>
                <w:lang w:eastAsia="fr-FR" w:bidi="ar-SA"/>
              </w:rPr>
              <w:t xml:space="preserve">Information about </w:t>
            </w:r>
            <w:r w:rsidRPr="00FD1ABC">
              <w:rPr>
                <w:rFonts w:ascii="Franklin Gothic Book" w:hAnsi="Franklin Gothic Book" w:cs="Calibri"/>
                <w:color w:val="000000" w:themeColor="text1"/>
                <w:lang w:eastAsia="fr-FR" w:bidi="ar-SA"/>
              </w:rPr>
              <w:t>license holders in accordance with EITI Requirement 2.3</w:t>
            </w:r>
            <w:r>
              <w:rPr>
                <w:rFonts w:ascii="Franklin Gothic Book" w:hAnsi="Franklin Gothic Book" w:cs="Calibri"/>
                <w:color w:val="000000" w:themeColor="text1"/>
                <w:lang w:eastAsia="fr-FR" w:bidi="ar-SA"/>
              </w:rPr>
              <w:t>.</w:t>
            </w:r>
            <w:r w:rsidRPr="00FD1ABC">
              <w:rPr>
                <w:rStyle w:val="FootnoteReference"/>
                <w:rFonts w:ascii="Franklin Gothic Book" w:hAnsi="Franklin Gothic Book" w:cs="Calibri"/>
                <w:color w:val="000000" w:themeColor="text1"/>
                <w:lang w:eastAsia="fr-FR" w:bidi="ar-SA"/>
              </w:rPr>
              <w:footnoteReference w:id="8"/>
            </w:r>
          </w:p>
        </w:tc>
        <w:tc>
          <w:tcPr>
            <w:tcW w:w="5699" w:type="dxa"/>
          </w:tcPr>
          <w:p w14:paraId="7B15E43E" w14:textId="6C1BAC39" w:rsidR="00721940" w:rsidRPr="00883CCA" w:rsidRDefault="00721940" w:rsidP="00721940">
            <w:pPr>
              <w:tabs>
                <w:tab w:val="left" w:pos="426"/>
                <w:tab w:val="left" w:pos="709"/>
              </w:tabs>
              <w:spacing w:before="120" w:after="120" w:line="240" w:lineRule="exact"/>
              <w:jc w:val="left"/>
              <w:rPr>
                <w:rFonts w:ascii="Franklin Gothic Book" w:hAnsi="Franklin Gothic Book" w:cs="Calibri"/>
                <w:color w:val="00B0F0"/>
                <w:lang w:eastAsia="fr-FR" w:bidi="ar-SA"/>
              </w:rPr>
            </w:pPr>
            <w:r w:rsidRPr="00883CCA">
              <w:rPr>
                <w:rFonts w:ascii="Franklin Gothic Book" w:hAnsi="Franklin Gothic Book" w:cs="Calibri"/>
                <w:color w:val="00B0F0"/>
                <w:lang w:eastAsia="fr-FR" w:bidi="ar-SA"/>
              </w:rPr>
              <w:t xml:space="preserve">The MSG could consider </w:t>
            </w:r>
            <w:r w:rsidR="0073165D">
              <w:rPr>
                <w:rFonts w:ascii="Franklin Gothic Book" w:hAnsi="Franklin Gothic Book" w:cs="Calibri"/>
                <w:color w:val="00B0F0"/>
                <w:lang w:eastAsia="fr-FR" w:bidi="ar-SA"/>
              </w:rPr>
              <w:t xml:space="preserve">also </w:t>
            </w:r>
            <w:r w:rsidRPr="00883CCA">
              <w:rPr>
                <w:rFonts w:ascii="Franklin Gothic Book" w:hAnsi="Franklin Gothic Book" w:cs="Calibri"/>
                <w:color w:val="00B0F0"/>
                <w:lang w:eastAsia="fr-FR" w:bidi="ar-SA"/>
              </w:rPr>
              <w:t>covering:</w:t>
            </w:r>
          </w:p>
          <w:p w14:paraId="5DE54960" w14:textId="026A01EB" w:rsidR="0044577E" w:rsidRPr="0044577E" w:rsidRDefault="78C0D518" w:rsidP="0044577E">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lang w:eastAsia="fr-FR" w:bidi="ar-SA"/>
              </w:rPr>
            </w:pPr>
            <w:r w:rsidRPr="68CBBC64">
              <w:rPr>
                <w:rFonts w:ascii="Franklin Gothic Book" w:hAnsi="Franklin Gothic Book" w:cs="Calibri"/>
                <w:color w:val="00B0F0"/>
                <w:lang w:eastAsia="fr-FR" w:bidi="ar-SA"/>
              </w:rPr>
              <w:t>Suspended licenses or operations in view of</w:t>
            </w:r>
            <w:r w:rsidR="0044577E">
              <w:rPr>
                <w:rFonts w:ascii="Franklin Gothic Book" w:hAnsi="Franklin Gothic Book" w:cs="Calibri"/>
                <w:color w:val="00B0F0"/>
                <w:lang w:eastAsia="fr-FR" w:bidi="ar-SA"/>
              </w:rPr>
              <w:t xml:space="preserve"> the</w:t>
            </w:r>
            <w:r w:rsidRPr="68CBBC64">
              <w:rPr>
                <w:rFonts w:ascii="Franklin Gothic Book" w:hAnsi="Franklin Gothic Book" w:cs="Calibri"/>
                <w:color w:val="00B0F0"/>
                <w:lang w:eastAsia="fr-FR" w:bidi="ar-SA"/>
              </w:rPr>
              <w:t xml:space="preserve"> C</w:t>
            </w:r>
            <w:r w:rsidR="084D7400" w:rsidRPr="68CBBC64">
              <w:rPr>
                <w:rFonts w:ascii="Franklin Gothic Book" w:hAnsi="Franklin Gothic Book" w:cs="Calibri"/>
                <w:color w:val="00B0F0"/>
                <w:lang w:eastAsia="fr-FR" w:bidi="ar-SA"/>
              </w:rPr>
              <w:t>ovid</w:t>
            </w:r>
            <w:r w:rsidRPr="68CBBC64">
              <w:rPr>
                <w:rFonts w:ascii="Franklin Gothic Book" w:hAnsi="Franklin Gothic Book" w:cs="Calibri"/>
                <w:color w:val="00B0F0"/>
                <w:lang w:eastAsia="fr-FR" w:bidi="ar-SA"/>
              </w:rPr>
              <w:t>-19</w:t>
            </w:r>
            <w:r w:rsidR="0044577E">
              <w:rPr>
                <w:rFonts w:ascii="Franklin Gothic Book" w:hAnsi="Franklin Gothic Book" w:cs="Calibri"/>
                <w:color w:val="00B0F0"/>
                <w:lang w:eastAsia="fr-FR" w:bidi="ar-SA"/>
              </w:rPr>
              <w:t xml:space="preserve"> pandemic</w:t>
            </w:r>
            <w:r w:rsidR="00E30D88">
              <w:rPr>
                <w:rFonts w:ascii="Franklin Gothic Book" w:hAnsi="Franklin Gothic Book" w:cs="Calibri"/>
                <w:color w:val="00B0F0"/>
                <w:lang w:eastAsia="fr-FR" w:bidi="ar-SA"/>
              </w:rPr>
              <w:t xml:space="preserve"> or the energy transition.</w:t>
            </w:r>
          </w:p>
        </w:tc>
      </w:tr>
      <w:tr w:rsidR="00871094" w:rsidRPr="00233966" w14:paraId="739ADC3A" w14:textId="77777777" w:rsidTr="68CBBC64">
        <w:tc>
          <w:tcPr>
            <w:tcW w:w="2977" w:type="dxa"/>
            <w:shd w:val="clear" w:color="auto" w:fill="auto"/>
          </w:tcPr>
          <w:p w14:paraId="6820F884" w14:textId="77777777" w:rsidR="00871094" w:rsidRPr="00FD1ABC" w:rsidRDefault="00871094" w:rsidP="00B42278">
            <w:pPr>
              <w:tabs>
                <w:tab w:val="left" w:pos="426"/>
                <w:tab w:val="left" w:pos="709"/>
              </w:tabs>
              <w:spacing w:before="120" w:after="120" w:line="240" w:lineRule="exact"/>
              <w:jc w:val="left"/>
              <w:rPr>
                <w:rFonts w:ascii="Franklin Gothic Book" w:hAnsi="Franklin Gothic Book" w:cs="Calibri"/>
                <w:color w:val="000000" w:themeColor="text1"/>
                <w:lang w:eastAsia="fr-FR" w:bidi="ar-SA"/>
              </w:rPr>
            </w:pPr>
            <w:r w:rsidRPr="00FD1ABC">
              <w:rPr>
                <w:rFonts w:ascii="Franklin Gothic Book" w:hAnsi="Franklin Gothic Book" w:cs="Calibri"/>
                <w:color w:val="000000" w:themeColor="text1"/>
                <w:lang w:eastAsia="fr-FR" w:bidi="ar-SA"/>
              </w:rPr>
              <w:t>Any information requested by the MSG on contracts in accordance with EITI Requirement 2.4</w:t>
            </w:r>
            <w:r w:rsidRPr="00FD1ABC">
              <w:rPr>
                <w:rStyle w:val="FootnoteReference"/>
                <w:rFonts w:ascii="Franklin Gothic Book" w:hAnsi="Franklin Gothic Book" w:cs="Calibri"/>
                <w:color w:val="000000" w:themeColor="text1"/>
                <w:lang w:eastAsia="fr-FR" w:bidi="ar-SA"/>
              </w:rPr>
              <w:t xml:space="preserve"> </w:t>
            </w:r>
            <w:r w:rsidRPr="00FD1ABC">
              <w:rPr>
                <w:rStyle w:val="FootnoteReference"/>
                <w:rFonts w:ascii="Franklin Gothic Book" w:hAnsi="Franklin Gothic Book" w:cs="Calibri"/>
                <w:color w:val="000000" w:themeColor="text1"/>
                <w:lang w:eastAsia="fr-FR" w:bidi="ar-SA"/>
              </w:rPr>
              <w:footnoteReference w:id="9"/>
            </w:r>
          </w:p>
        </w:tc>
        <w:tc>
          <w:tcPr>
            <w:tcW w:w="5699" w:type="dxa"/>
          </w:tcPr>
          <w:p w14:paraId="55E77616" w14:textId="7CAAE62A" w:rsidR="00733CC3" w:rsidRPr="00883CCA" w:rsidRDefault="00733CC3" w:rsidP="00733CC3">
            <w:pPr>
              <w:tabs>
                <w:tab w:val="left" w:pos="426"/>
                <w:tab w:val="left" w:pos="709"/>
              </w:tabs>
              <w:spacing w:before="120" w:after="120" w:line="240" w:lineRule="exact"/>
              <w:jc w:val="left"/>
              <w:rPr>
                <w:rFonts w:ascii="Franklin Gothic Book" w:hAnsi="Franklin Gothic Book" w:cs="Calibri"/>
                <w:color w:val="00B0F0"/>
                <w:lang w:eastAsia="fr-FR" w:bidi="ar-SA"/>
              </w:rPr>
            </w:pPr>
            <w:r w:rsidRPr="00883CCA">
              <w:rPr>
                <w:rFonts w:ascii="Franklin Gothic Book" w:hAnsi="Franklin Gothic Book" w:cs="Calibri"/>
                <w:color w:val="00B0F0"/>
                <w:lang w:eastAsia="fr-FR" w:bidi="ar-SA"/>
              </w:rPr>
              <w:t xml:space="preserve">The MSG could consider </w:t>
            </w:r>
            <w:r w:rsidR="0073165D">
              <w:rPr>
                <w:rFonts w:ascii="Franklin Gothic Book" w:hAnsi="Franklin Gothic Book" w:cs="Calibri"/>
                <w:color w:val="00B0F0"/>
                <w:lang w:eastAsia="fr-FR" w:bidi="ar-SA"/>
              </w:rPr>
              <w:t xml:space="preserve">also </w:t>
            </w:r>
            <w:r w:rsidRPr="00883CCA">
              <w:rPr>
                <w:rFonts w:ascii="Franklin Gothic Book" w:hAnsi="Franklin Gothic Book" w:cs="Calibri"/>
                <w:color w:val="00B0F0"/>
                <w:lang w:eastAsia="fr-FR" w:bidi="ar-SA"/>
              </w:rPr>
              <w:t>covering:</w:t>
            </w:r>
          </w:p>
          <w:p w14:paraId="53EAD930" w14:textId="37FED81D" w:rsidR="0044577E" w:rsidRPr="00A11001" w:rsidRDefault="00733CC3" w:rsidP="00A11001">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lang w:eastAsia="fr-FR" w:bidi="ar-SA"/>
              </w:rPr>
            </w:pPr>
            <w:r w:rsidRPr="00883CCA">
              <w:rPr>
                <w:rFonts w:ascii="Franklin Gothic Book" w:hAnsi="Franklin Gothic Book" w:cs="Calibri"/>
                <w:color w:val="00B0F0"/>
                <w:lang w:eastAsia="fr-FR" w:bidi="ar-SA"/>
              </w:rPr>
              <w:t xml:space="preserve">Changes in licensing and contract negotiations or </w:t>
            </w:r>
            <w:r w:rsidR="006D24E0">
              <w:rPr>
                <w:rFonts w:ascii="Franklin Gothic Book" w:hAnsi="Franklin Gothic Book" w:cs="Calibri"/>
                <w:color w:val="00B0F0"/>
                <w:lang w:eastAsia="fr-FR" w:bidi="ar-SA"/>
              </w:rPr>
              <w:t>amendments to contracts</w:t>
            </w:r>
            <w:r w:rsidR="00020B6F">
              <w:rPr>
                <w:rFonts w:ascii="Franklin Gothic Book" w:hAnsi="Franklin Gothic Book" w:cs="Calibri"/>
                <w:color w:val="00B0F0"/>
                <w:lang w:eastAsia="fr-FR" w:bidi="ar-SA"/>
              </w:rPr>
              <w:t>, revisions on work schedules if they are annexed to the contract</w:t>
            </w:r>
            <w:r w:rsidR="00A11001">
              <w:rPr>
                <w:rFonts w:ascii="Franklin Gothic Book" w:hAnsi="Franklin Gothic Book" w:cs="Calibri"/>
                <w:color w:val="00B0F0"/>
                <w:lang w:eastAsia="fr-FR" w:bidi="ar-SA"/>
              </w:rPr>
              <w:t>.</w:t>
            </w:r>
          </w:p>
        </w:tc>
      </w:tr>
      <w:tr w:rsidR="00871094" w:rsidRPr="00233966" w14:paraId="13D72A0A" w14:textId="77777777" w:rsidTr="68CBBC64">
        <w:tc>
          <w:tcPr>
            <w:tcW w:w="2977" w:type="dxa"/>
            <w:shd w:val="clear" w:color="auto" w:fill="auto"/>
          </w:tcPr>
          <w:p w14:paraId="16FF9C74" w14:textId="77777777" w:rsidR="00871094" w:rsidRPr="00FD1ABC" w:rsidRDefault="00871094" w:rsidP="00B42278">
            <w:pPr>
              <w:tabs>
                <w:tab w:val="left" w:pos="426"/>
                <w:tab w:val="left" w:pos="709"/>
              </w:tabs>
              <w:spacing w:before="120" w:after="120" w:line="240" w:lineRule="exact"/>
              <w:jc w:val="left"/>
              <w:rPr>
                <w:rFonts w:ascii="Franklin Gothic Book" w:hAnsi="Franklin Gothic Book" w:cs="Calibri"/>
                <w:color w:val="000000" w:themeColor="text1"/>
                <w:lang w:eastAsia="fr-FR" w:bidi="ar-SA"/>
              </w:rPr>
            </w:pPr>
            <w:r w:rsidRPr="00FD1ABC">
              <w:rPr>
                <w:rFonts w:ascii="Franklin Gothic Book" w:hAnsi="Franklin Gothic Book" w:cs="Calibri"/>
                <w:color w:val="000000" w:themeColor="text1"/>
                <w:lang w:eastAsia="fr-FR" w:bidi="ar-SA"/>
              </w:rPr>
              <w:lastRenderedPageBreak/>
              <w:t>Any information requested by the MSG on beneficial ownership in accordance with EITI Requirement 2.5</w:t>
            </w:r>
            <w:r w:rsidRPr="00FD1ABC">
              <w:rPr>
                <w:rStyle w:val="FootnoteReference"/>
                <w:rFonts w:ascii="Franklin Gothic Book" w:hAnsi="Franklin Gothic Book" w:cs="Calibri"/>
                <w:color w:val="000000" w:themeColor="text1"/>
                <w:lang w:eastAsia="fr-FR" w:bidi="ar-SA"/>
              </w:rPr>
              <w:t xml:space="preserve"> </w:t>
            </w:r>
            <w:r w:rsidRPr="00FD1ABC">
              <w:rPr>
                <w:rStyle w:val="FootnoteReference"/>
                <w:rFonts w:ascii="Franklin Gothic Book" w:hAnsi="Franklin Gothic Book" w:cs="Calibri"/>
                <w:color w:val="000000" w:themeColor="text1"/>
                <w:lang w:eastAsia="fr-FR" w:bidi="ar-SA"/>
              </w:rPr>
              <w:footnoteReference w:id="10"/>
            </w:r>
          </w:p>
        </w:tc>
        <w:tc>
          <w:tcPr>
            <w:tcW w:w="5699" w:type="dxa"/>
          </w:tcPr>
          <w:p w14:paraId="6721B986" w14:textId="15D6D7F0" w:rsidR="00871094" w:rsidRPr="00DE59D0" w:rsidRDefault="00C97685" w:rsidP="00DE59D0">
            <w:pPr>
              <w:pStyle w:val="ListParagraph"/>
              <w:numPr>
                <w:ilvl w:val="0"/>
                <w:numId w:val="34"/>
              </w:numPr>
              <w:tabs>
                <w:tab w:val="left" w:pos="426"/>
                <w:tab w:val="left" w:pos="709"/>
              </w:tabs>
              <w:spacing w:before="120" w:after="120" w:line="240" w:lineRule="exact"/>
              <w:jc w:val="left"/>
              <w:rPr>
                <w:rFonts w:ascii="Franklin Gothic Book" w:hAnsi="Franklin Gothic Book" w:cs="Calibri"/>
                <w:color w:val="00B0F0"/>
                <w:lang w:eastAsia="fr-FR" w:bidi="ar-SA"/>
              </w:rPr>
            </w:pPr>
            <w:r w:rsidRPr="00DE59D0">
              <w:rPr>
                <w:rFonts w:ascii="Franklin Gothic Book" w:hAnsi="Franklin Gothic Book" w:cs="Calibri"/>
                <w:color w:val="00B0F0"/>
                <w:lang w:eastAsia="fr-FR" w:bidi="ar-SA"/>
              </w:rPr>
              <w:t>…</w:t>
            </w:r>
          </w:p>
        </w:tc>
      </w:tr>
      <w:tr w:rsidR="00871094" w:rsidRPr="00233966" w14:paraId="6EAF16D6" w14:textId="77777777" w:rsidTr="68CBBC64">
        <w:tc>
          <w:tcPr>
            <w:tcW w:w="2977" w:type="dxa"/>
            <w:shd w:val="clear" w:color="auto" w:fill="auto"/>
          </w:tcPr>
          <w:p w14:paraId="40748BBD" w14:textId="040A6DEF" w:rsidR="00871094" w:rsidRPr="00FD1ABC" w:rsidRDefault="00871094" w:rsidP="008306FF">
            <w:pPr>
              <w:tabs>
                <w:tab w:val="left" w:pos="426"/>
                <w:tab w:val="left" w:pos="709"/>
              </w:tabs>
              <w:spacing w:before="120" w:after="120" w:line="240" w:lineRule="exact"/>
              <w:jc w:val="left"/>
              <w:rPr>
                <w:rFonts w:ascii="Franklin Gothic Book" w:hAnsi="Franklin Gothic Book" w:cs="Calibri"/>
                <w:color w:val="000000" w:themeColor="text1"/>
                <w:lang w:eastAsia="fr-FR" w:bidi="ar-SA"/>
              </w:rPr>
            </w:pPr>
            <w:r w:rsidRPr="00FD1ABC">
              <w:rPr>
                <w:rFonts w:ascii="Franklin Gothic Book" w:hAnsi="Franklin Gothic Book" w:cs="Calibri"/>
                <w:color w:val="000000" w:themeColor="text1"/>
                <w:lang w:eastAsia="fr-FR" w:bidi="ar-SA"/>
              </w:rPr>
              <w:t>Information regarding state participation in the extractive industries</w:t>
            </w:r>
            <w:r>
              <w:rPr>
                <w:rFonts w:ascii="Franklin Gothic Book" w:hAnsi="Franklin Gothic Book" w:cs="Calibri"/>
                <w:color w:val="000000" w:themeColor="text1"/>
                <w:lang w:eastAsia="fr-FR" w:bidi="ar-SA"/>
              </w:rPr>
              <w:t xml:space="preserve">, </w:t>
            </w:r>
            <w:r w:rsidR="008306FF" w:rsidRPr="004302B0">
              <w:rPr>
                <w:rFonts w:ascii="Franklin Gothic Book" w:hAnsi="Franklin Gothic Book" w:cs="Calibri"/>
                <w:color w:val="000000" w:themeColor="text1"/>
                <w:lang w:eastAsia="fr-FR" w:bidi="ar-SA"/>
              </w:rPr>
              <w:t xml:space="preserve">payments to and from state owned enterprises </w:t>
            </w:r>
            <w:r>
              <w:rPr>
                <w:rFonts w:ascii="Franklin Gothic Book" w:hAnsi="Franklin Gothic Book" w:cs="Calibri"/>
                <w:color w:val="000000" w:themeColor="text1"/>
                <w:lang w:eastAsia="fr-FR" w:bidi="ar-SA"/>
              </w:rPr>
              <w:t xml:space="preserve"> and any quasi-fiscal expenditures</w:t>
            </w:r>
            <w:r w:rsidRPr="00FD1ABC">
              <w:rPr>
                <w:rFonts w:ascii="Franklin Gothic Book" w:hAnsi="Franklin Gothic Book" w:cs="Calibri"/>
                <w:color w:val="000000" w:themeColor="text1"/>
                <w:lang w:eastAsia="fr-FR" w:bidi="ar-SA"/>
              </w:rPr>
              <w:t xml:space="preserve"> in accordance with EITI Requirement 2.6</w:t>
            </w:r>
            <w:r w:rsidR="008306FF">
              <w:rPr>
                <w:rFonts w:ascii="Franklin Gothic Book" w:hAnsi="Franklin Gothic Book" w:cs="Calibri"/>
                <w:color w:val="000000" w:themeColor="text1"/>
                <w:lang w:eastAsia="fr-FR" w:bidi="ar-SA"/>
              </w:rPr>
              <w:t>,</w:t>
            </w:r>
            <w:r w:rsidRPr="00FD1ABC">
              <w:rPr>
                <w:rFonts w:ascii="Franklin Gothic Book" w:hAnsi="Franklin Gothic Book" w:cs="Calibri"/>
                <w:color w:val="000000" w:themeColor="text1"/>
                <w:lang w:eastAsia="fr-FR" w:bidi="ar-SA"/>
              </w:rPr>
              <w:t xml:space="preserve"> </w:t>
            </w:r>
            <w:r w:rsidR="008306FF">
              <w:rPr>
                <w:rFonts w:ascii="Franklin Gothic Book" w:hAnsi="Franklin Gothic Book" w:cs="Calibri"/>
                <w:color w:val="000000" w:themeColor="text1"/>
                <w:lang w:eastAsia="fr-FR" w:bidi="ar-SA"/>
              </w:rPr>
              <w:t xml:space="preserve">4.5 </w:t>
            </w:r>
            <w:r w:rsidRPr="00FD1ABC">
              <w:rPr>
                <w:rFonts w:ascii="Franklin Gothic Book" w:hAnsi="Franklin Gothic Book" w:cs="Calibri"/>
                <w:color w:val="000000" w:themeColor="text1"/>
                <w:lang w:eastAsia="fr-FR" w:bidi="ar-SA"/>
              </w:rPr>
              <w:t>and 6.2.</w:t>
            </w:r>
            <w:r w:rsidRPr="00FD1ABC">
              <w:rPr>
                <w:rStyle w:val="FootnoteReference"/>
                <w:rFonts w:ascii="Franklin Gothic Book" w:hAnsi="Franklin Gothic Book" w:cs="Calibri"/>
                <w:color w:val="000000" w:themeColor="text1"/>
                <w:lang w:eastAsia="fr-FR" w:bidi="ar-SA"/>
              </w:rPr>
              <w:footnoteReference w:id="11"/>
            </w:r>
          </w:p>
        </w:tc>
        <w:tc>
          <w:tcPr>
            <w:tcW w:w="5699" w:type="dxa"/>
          </w:tcPr>
          <w:p w14:paraId="1BD2697D" w14:textId="434CC2FB" w:rsidR="00733CC3" w:rsidRPr="00883CCA" w:rsidRDefault="00733CC3" w:rsidP="00733CC3">
            <w:pPr>
              <w:tabs>
                <w:tab w:val="left" w:pos="426"/>
                <w:tab w:val="left" w:pos="709"/>
              </w:tabs>
              <w:spacing w:before="120" w:after="120" w:line="240" w:lineRule="exact"/>
              <w:jc w:val="left"/>
              <w:rPr>
                <w:rFonts w:ascii="Franklin Gothic Book" w:hAnsi="Franklin Gothic Book" w:cs="Calibri"/>
                <w:color w:val="00B0F0"/>
                <w:lang w:eastAsia="fr-FR" w:bidi="ar-SA"/>
              </w:rPr>
            </w:pPr>
            <w:r w:rsidRPr="00883CCA">
              <w:rPr>
                <w:rFonts w:ascii="Franklin Gothic Book" w:hAnsi="Franklin Gothic Book" w:cs="Calibri"/>
                <w:color w:val="00B0F0"/>
                <w:lang w:eastAsia="fr-FR" w:bidi="ar-SA"/>
              </w:rPr>
              <w:t xml:space="preserve">The MSG could consider </w:t>
            </w:r>
            <w:r w:rsidR="0073165D">
              <w:rPr>
                <w:rFonts w:ascii="Franklin Gothic Book" w:hAnsi="Franklin Gothic Book" w:cs="Calibri"/>
                <w:color w:val="00B0F0"/>
                <w:lang w:eastAsia="fr-FR" w:bidi="ar-SA"/>
              </w:rPr>
              <w:t xml:space="preserve">also </w:t>
            </w:r>
            <w:r w:rsidRPr="00883CCA">
              <w:rPr>
                <w:rFonts w:ascii="Franklin Gothic Book" w:hAnsi="Franklin Gothic Book" w:cs="Calibri"/>
                <w:color w:val="00B0F0"/>
                <w:lang w:eastAsia="fr-FR" w:bidi="ar-SA"/>
              </w:rPr>
              <w:t>covering:</w:t>
            </w:r>
          </w:p>
          <w:p w14:paraId="3C31445B" w14:textId="5625D628" w:rsidR="00E62A93" w:rsidRDefault="00733CC3" w:rsidP="00733CC3">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lang w:eastAsia="fr-FR" w:bidi="ar-SA"/>
              </w:rPr>
            </w:pPr>
            <w:r w:rsidRPr="00883CCA">
              <w:rPr>
                <w:rFonts w:ascii="Franklin Gothic Book" w:hAnsi="Franklin Gothic Book" w:cs="Calibri"/>
                <w:color w:val="00B0F0"/>
                <w:lang w:eastAsia="fr-FR" w:bidi="ar-SA"/>
              </w:rPr>
              <w:t>Changes in state participation and policies for state-owned enterprises</w:t>
            </w:r>
            <w:r w:rsidR="00E30D88">
              <w:rPr>
                <w:rFonts w:ascii="Franklin Gothic Book" w:hAnsi="Franklin Gothic Book" w:cs="Calibri"/>
                <w:color w:val="00B0F0"/>
                <w:lang w:eastAsia="fr-FR" w:bidi="ar-SA"/>
              </w:rPr>
              <w:t xml:space="preserve"> in light of the Covid-19 crisis or energy transition.</w:t>
            </w:r>
          </w:p>
          <w:p w14:paraId="11D27F77" w14:textId="049590FB" w:rsidR="008B6664" w:rsidRDefault="008B6664" w:rsidP="00CD2F06">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lang w:eastAsia="fr-FR" w:bidi="ar-SA"/>
              </w:rPr>
            </w:pPr>
            <w:r w:rsidRPr="68CBBC64">
              <w:rPr>
                <w:rFonts w:ascii="Franklin Gothic Book" w:hAnsi="Franklin Gothic Book" w:cs="Calibri"/>
                <w:color w:val="00B0F0"/>
                <w:lang w:eastAsia="fr-FR" w:bidi="ar-SA"/>
              </w:rPr>
              <w:t>Ad</w:t>
            </w:r>
            <w:r w:rsidR="4C11ACE5" w:rsidRPr="68CBBC64">
              <w:rPr>
                <w:rFonts w:ascii="Franklin Gothic Book" w:hAnsi="Franklin Gothic Book" w:cs="Calibri"/>
                <w:color w:val="00B0F0"/>
                <w:lang w:eastAsia="fr-FR" w:bidi="ar-SA"/>
              </w:rPr>
              <w:t>-</w:t>
            </w:r>
            <w:r w:rsidRPr="68CBBC64">
              <w:rPr>
                <w:rFonts w:ascii="Franklin Gothic Book" w:hAnsi="Franklin Gothic Book" w:cs="Calibri"/>
                <w:color w:val="00B0F0"/>
                <w:lang w:eastAsia="fr-FR" w:bidi="ar-SA"/>
              </w:rPr>
              <w:t>hoc SOE payments and transfers related to</w:t>
            </w:r>
            <w:r w:rsidR="21CE11CA" w:rsidRPr="68CBBC64">
              <w:rPr>
                <w:rFonts w:ascii="Franklin Gothic Book" w:hAnsi="Franklin Gothic Book" w:cs="Calibri"/>
                <w:color w:val="00B0F0"/>
                <w:lang w:eastAsia="fr-FR" w:bidi="ar-SA"/>
              </w:rPr>
              <w:t xml:space="preserve"> </w:t>
            </w:r>
            <w:r w:rsidRPr="68CBBC64">
              <w:rPr>
                <w:rFonts w:ascii="Franklin Gothic Book" w:hAnsi="Franklin Gothic Book" w:cs="Calibri"/>
                <w:color w:val="00B0F0"/>
                <w:lang w:eastAsia="fr-FR" w:bidi="ar-SA"/>
              </w:rPr>
              <w:t>the C</w:t>
            </w:r>
            <w:r w:rsidR="6EAD482D" w:rsidRPr="68CBBC64">
              <w:rPr>
                <w:rFonts w:ascii="Franklin Gothic Book" w:hAnsi="Franklin Gothic Book" w:cs="Calibri"/>
                <w:color w:val="00B0F0"/>
                <w:lang w:eastAsia="fr-FR" w:bidi="ar-SA"/>
              </w:rPr>
              <w:t>ovid</w:t>
            </w:r>
            <w:r w:rsidRPr="68CBBC64">
              <w:rPr>
                <w:rFonts w:ascii="Franklin Gothic Book" w:hAnsi="Franklin Gothic Book" w:cs="Calibri"/>
                <w:color w:val="00B0F0"/>
                <w:lang w:eastAsia="fr-FR" w:bidi="ar-SA"/>
              </w:rPr>
              <w:t>-19 crisis</w:t>
            </w:r>
            <w:r w:rsidR="00E30D88">
              <w:rPr>
                <w:rFonts w:ascii="Franklin Gothic Book" w:hAnsi="Franklin Gothic Book" w:cs="Calibri"/>
                <w:color w:val="00B0F0"/>
                <w:lang w:eastAsia="fr-FR" w:bidi="ar-SA"/>
              </w:rPr>
              <w:t>.</w:t>
            </w:r>
          </w:p>
          <w:p w14:paraId="3106D79B" w14:textId="53A57ED6" w:rsidR="00772760" w:rsidRDefault="00772760" w:rsidP="00CD2F06">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lang w:eastAsia="fr-FR" w:bidi="ar-SA"/>
              </w:rPr>
            </w:pPr>
            <w:r>
              <w:rPr>
                <w:rFonts w:ascii="Franklin Gothic Book" w:hAnsi="Franklin Gothic Book" w:cs="Calibri"/>
                <w:color w:val="00B0F0"/>
                <w:lang w:eastAsia="fr-FR" w:bidi="ar-SA"/>
              </w:rPr>
              <w:t xml:space="preserve">Any changes in </w:t>
            </w:r>
            <w:r w:rsidR="00B549D1">
              <w:rPr>
                <w:rFonts w:ascii="Franklin Gothic Book" w:hAnsi="Franklin Gothic Book" w:cs="Calibri"/>
                <w:color w:val="00B0F0"/>
                <w:lang w:eastAsia="fr-FR" w:bidi="ar-SA"/>
              </w:rPr>
              <w:t xml:space="preserve">loans and loan guarantees from the state and SOEs due to the impact of the </w:t>
            </w:r>
            <w:r w:rsidR="009E6414">
              <w:rPr>
                <w:rFonts w:ascii="Franklin Gothic Book" w:hAnsi="Franklin Gothic Book" w:cs="Calibri"/>
                <w:color w:val="00B0F0"/>
                <w:lang w:eastAsia="fr-FR" w:bidi="ar-SA"/>
              </w:rPr>
              <w:t>Covid-19 crisis</w:t>
            </w:r>
            <w:r w:rsidR="005F304E">
              <w:rPr>
                <w:rFonts w:ascii="Franklin Gothic Book" w:hAnsi="Franklin Gothic Book" w:cs="Calibri"/>
                <w:color w:val="00B0F0"/>
                <w:lang w:eastAsia="fr-FR" w:bidi="ar-SA"/>
              </w:rPr>
              <w:t xml:space="preserve"> or the energy transition</w:t>
            </w:r>
            <w:r w:rsidR="00E30D88">
              <w:rPr>
                <w:rFonts w:ascii="Franklin Gothic Book" w:hAnsi="Franklin Gothic Book" w:cs="Calibri"/>
                <w:color w:val="00B0F0"/>
                <w:lang w:eastAsia="fr-FR" w:bidi="ar-SA"/>
              </w:rPr>
              <w:t>.</w:t>
            </w:r>
          </w:p>
          <w:p w14:paraId="0DDB2C02" w14:textId="376B209E" w:rsidR="00250D33" w:rsidRDefault="73A42DE8" w:rsidP="008B6664">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lang w:eastAsia="fr-FR" w:bidi="ar-SA"/>
              </w:rPr>
            </w:pPr>
            <w:r w:rsidRPr="68CBBC64">
              <w:rPr>
                <w:rFonts w:ascii="Franklin Gothic Book" w:hAnsi="Franklin Gothic Book" w:cs="Calibri"/>
                <w:color w:val="00B0F0"/>
                <w:lang w:eastAsia="fr-FR" w:bidi="ar-SA"/>
              </w:rPr>
              <w:t xml:space="preserve">Amendments to the rules and practices related to </w:t>
            </w:r>
            <w:proofErr w:type="spellStart"/>
            <w:r w:rsidRPr="68CBBC64">
              <w:rPr>
                <w:rFonts w:ascii="Franklin Gothic Book" w:hAnsi="Franklin Gothic Book" w:cs="Calibri"/>
                <w:color w:val="00B0F0"/>
                <w:lang w:eastAsia="fr-FR" w:bidi="ar-SA"/>
              </w:rPr>
              <w:t>SOEs’</w:t>
            </w:r>
            <w:proofErr w:type="spellEnd"/>
            <w:r w:rsidRPr="68CBBC64">
              <w:rPr>
                <w:rFonts w:ascii="Franklin Gothic Book" w:hAnsi="Franklin Gothic Book" w:cs="Calibri"/>
                <w:color w:val="00B0F0"/>
                <w:lang w:eastAsia="fr-FR" w:bidi="ar-SA"/>
              </w:rPr>
              <w:t xml:space="preserve"> operating and capital expenditures, procurement, subcontracting and corporate governance in light of the C</w:t>
            </w:r>
            <w:r w:rsidR="7BC5B4A1" w:rsidRPr="68CBBC64">
              <w:rPr>
                <w:rFonts w:ascii="Franklin Gothic Book" w:hAnsi="Franklin Gothic Book" w:cs="Calibri"/>
                <w:color w:val="00B0F0"/>
                <w:lang w:eastAsia="fr-FR" w:bidi="ar-SA"/>
              </w:rPr>
              <w:t>ovid</w:t>
            </w:r>
            <w:r w:rsidRPr="68CBBC64">
              <w:rPr>
                <w:rFonts w:ascii="Franklin Gothic Book" w:hAnsi="Franklin Gothic Book" w:cs="Calibri"/>
                <w:color w:val="00B0F0"/>
                <w:lang w:eastAsia="fr-FR" w:bidi="ar-SA"/>
              </w:rPr>
              <w:t>-19 crisis</w:t>
            </w:r>
            <w:r w:rsidR="00E30D88">
              <w:rPr>
                <w:rFonts w:ascii="Franklin Gothic Book" w:hAnsi="Franklin Gothic Book" w:cs="Calibri"/>
                <w:color w:val="00B0F0"/>
                <w:lang w:eastAsia="fr-FR" w:bidi="ar-SA"/>
              </w:rPr>
              <w:t xml:space="preserve"> or the energy transition.</w:t>
            </w:r>
          </w:p>
          <w:p w14:paraId="0CB9B693" w14:textId="5FB7189C" w:rsidR="00415562" w:rsidRDefault="00507E08" w:rsidP="008B6664">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lang w:eastAsia="fr-FR" w:bidi="ar-SA"/>
              </w:rPr>
            </w:pPr>
            <w:r>
              <w:rPr>
                <w:rFonts w:ascii="Franklin Gothic Book" w:hAnsi="Franklin Gothic Book" w:cs="Calibri"/>
                <w:color w:val="00B0F0"/>
                <w:lang w:eastAsia="fr-FR" w:bidi="ar-SA"/>
              </w:rPr>
              <w:t>Analysis on the value of fossil fuel s</w:t>
            </w:r>
            <w:r w:rsidR="00C21BCE">
              <w:rPr>
                <w:rFonts w:ascii="Franklin Gothic Book" w:hAnsi="Franklin Gothic Book" w:cs="Calibri"/>
                <w:color w:val="00B0F0"/>
                <w:lang w:eastAsia="fr-FR" w:bidi="ar-SA"/>
              </w:rPr>
              <w:t xml:space="preserve">ubsidies </w:t>
            </w:r>
            <w:r>
              <w:rPr>
                <w:rFonts w:ascii="Franklin Gothic Book" w:hAnsi="Franklin Gothic Book" w:cs="Calibri"/>
                <w:color w:val="00B0F0"/>
                <w:lang w:eastAsia="fr-FR" w:bidi="ar-SA"/>
              </w:rPr>
              <w:t>channelled through SOEs</w:t>
            </w:r>
            <w:r w:rsidR="005F304E">
              <w:rPr>
                <w:rFonts w:ascii="Franklin Gothic Book" w:hAnsi="Franklin Gothic Book" w:cs="Calibri"/>
                <w:color w:val="00B0F0"/>
                <w:lang w:eastAsia="fr-FR" w:bidi="ar-SA"/>
              </w:rPr>
              <w:t>.</w:t>
            </w:r>
          </w:p>
          <w:p w14:paraId="52219DC9" w14:textId="7ECC250F" w:rsidR="00871094" w:rsidRPr="0010643B" w:rsidRDefault="008B6664" w:rsidP="008B6664">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lang w:eastAsia="fr-FR" w:bidi="ar-SA"/>
              </w:rPr>
            </w:pPr>
            <w:r w:rsidRPr="68CBBC64">
              <w:rPr>
                <w:rFonts w:ascii="Franklin Gothic Book" w:hAnsi="Franklin Gothic Book" w:cs="Calibri"/>
                <w:color w:val="00B0F0"/>
                <w:lang w:eastAsia="fr-FR" w:bidi="ar-SA"/>
              </w:rPr>
              <w:t>Additional SOE quasi-fiscal expenditures agreed in response to the impact of the C</w:t>
            </w:r>
            <w:r w:rsidR="5116581A" w:rsidRPr="68CBBC64">
              <w:rPr>
                <w:rFonts w:ascii="Franklin Gothic Book" w:hAnsi="Franklin Gothic Book" w:cs="Calibri"/>
                <w:color w:val="00B0F0"/>
                <w:lang w:eastAsia="fr-FR" w:bidi="ar-SA"/>
              </w:rPr>
              <w:t>ovid</w:t>
            </w:r>
            <w:r w:rsidRPr="68CBBC64">
              <w:rPr>
                <w:rFonts w:ascii="Franklin Gothic Book" w:hAnsi="Franklin Gothic Book" w:cs="Calibri"/>
                <w:color w:val="00B0F0"/>
                <w:lang w:eastAsia="fr-FR" w:bidi="ar-SA"/>
              </w:rPr>
              <w:t>-19 crisis</w:t>
            </w:r>
            <w:r w:rsidR="00C21317">
              <w:rPr>
                <w:rFonts w:ascii="Franklin Gothic Book" w:hAnsi="Franklin Gothic Book" w:cs="Calibri"/>
                <w:color w:val="00B0F0"/>
                <w:lang w:eastAsia="fr-FR" w:bidi="ar-SA"/>
              </w:rPr>
              <w:t>.</w:t>
            </w:r>
          </w:p>
        </w:tc>
      </w:tr>
      <w:tr w:rsidR="00871094" w:rsidRPr="00233966" w14:paraId="2CDD9D6A" w14:textId="77777777" w:rsidTr="68CBBC64">
        <w:tc>
          <w:tcPr>
            <w:tcW w:w="2977" w:type="dxa"/>
            <w:shd w:val="clear" w:color="auto" w:fill="auto"/>
          </w:tcPr>
          <w:p w14:paraId="4E0C0262" w14:textId="77777777" w:rsidR="00871094" w:rsidRPr="00FD1ABC" w:rsidRDefault="00871094" w:rsidP="00B42278">
            <w:pPr>
              <w:tabs>
                <w:tab w:val="left" w:pos="426"/>
                <w:tab w:val="left" w:pos="709"/>
              </w:tabs>
              <w:spacing w:before="120" w:after="120" w:line="240" w:lineRule="exact"/>
              <w:jc w:val="left"/>
              <w:rPr>
                <w:rFonts w:ascii="Franklin Gothic Book" w:hAnsi="Franklin Gothic Book" w:cs="Calibri"/>
                <w:color w:val="000000" w:themeColor="text1"/>
                <w:lang w:eastAsia="fr-FR" w:bidi="ar-SA"/>
              </w:rPr>
            </w:pPr>
            <w:r w:rsidRPr="00FD1ABC">
              <w:rPr>
                <w:rFonts w:ascii="Franklin Gothic Book" w:hAnsi="Franklin Gothic Book" w:cs="Calibri"/>
                <w:color w:val="000000" w:themeColor="text1"/>
                <w:lang w:eastAsia="fr-FR" w:bidi="ar-SA"/>
              </w:rPr>
              <w:t>An overview of the extractive industries, including any significant exploration activities in accordance with EITI Requirement 3.1.</w:t>
            </w:r>
          </w:p>
        </w:tc>
        <w:tc>
          <w:tcPr>
            <w:tcW w:w="5699" w:type="dxa"/>
          </w:tcPr>
          <w:p w14:paraId="622C3515" w14:textId="72E0FC69" w:rsidR="00733CC3" w:rsidRPr="00883CCA" w:rsidRDefault="00733CC3" w:rsidP="00733CC3">
            <w:pPr>
              <w:tabs>
                <w:tab w:val="left" w:pos="426"/>
                <w:tab w:val="left" w:pos="709"/>
              </w:tabs>
              <w:spacing w:before="120" w:after="120" w:line="240" w:lineRule="exact"/>
              <w:jc w:val="left"/>
              <w:rPr>
                <w:rFonts w:ascii="Franklin Gothic Book" w:hAnsi="Franklin Gothic Book" w:cs="Calibri"/>
                <w:color w:val="00B0F0"/>
                <w:lang w:eastAsia="fr-FR" w:bidi="ar-SA"/>
              </w:rPr>
            </w:pPr>
            <w:r w:rsidRPr="00883CCA">
              <w:rPr>
                <w:rFonts w:ascii="Franklin Gothic Book" w:hAnsi="Franklin Gothic Book" w:cs="Calibri"/>
                <w:color w:val="00B0F0"/>
                <w:lang w:eastAsia="fr-FR" w:bidi="ar-SA"/>
              </w:rPr>
              <w:t xml:space="preserve">The MSG could consider </w:t>
            </w:r>
            <w:r w:rsidR="0073165D">
              <w:rPr>
                <w:rFonts w:ascii="Franklin Gothic Book" w:hAnsi="Franklin Gothic Book" w:cs="Calibri"/>
                <w:color w:val="00B0F0"/>
                <w:lang w:eastAsia="fr-FR" w:bidi="ar-SA"/>
              </w:rPr>
              <w:t xml:space="preserve">also </w:t>
            </w:r>
            <w:r w:rsidRPr="00883CCA">
              <w:rPr>
                <w:rFonts w:ascii="Franklin Gothic Book" w:hAnsi="Franklin Gothic Book" w:cs="Calibri"/>
                <w:color w:val="00B0F0"/>
                <w:lang w:eastAsia="fr-FR" w:bidi="ar-SA"/>
              </w:rPr>
              <w:t>covering:</w:t>
            </w:r>
          </w:p>
          <w:p w14:paraId="5FCB4075" w14:textId="2985313E" w:rsidR="002E5374" w:rsidRDefault="002E5374" w:rsidP="002E5374">
            <w:pPr>
              <w:pStyle w:val="ListParagraph"/>
              <w:numPr>
                <w:ilvl w:val="0"/>
                <w:numId w:val="34"/>
              </w:numPr>
              <w:tabs>
                <w:tab w:val="left" w:pos="426"/>
                <w:tab w:val="left" w:pos="709"/>
              </w:tabs>
              <w:spacing w:before="120" w:after="120" w:line="240" w:lineRule="exact"/>
              <w:ind w:left="397" w:hanging="113"/>
              <w:jc w:val="left"/>
              <w:rPr>
                <w:rFonts w:ascii="Franklin Gothic Book" w:eastAsia="Calibri" w:hAnsi="Franklin Gothic Book"/>
                <w:lang w:eastAsia="nb-NO" w:bidi="ar-SA"/>
              </w:rPr>
            </w:pPr>
            <w:r w:rsidRPr="68CBBC64">
              <w:rPr>
                <w:rFonts w:ascii="Franklin Gothic Book" w:hAnsi="Franklin Gothic Book" w:cs="Calibri"/>
                <w:color w:val="00B0F0"/>
                <w:lang w:eastAsia="fr-FR" w:bidi="ar-SA"/>
              </w:rPr>
              <w:t xml:space="preserve">A narrative overview of </w:t>
            </w:r>
            <w:r w:rsidRPr="68CBBC64">
              <w:rPr>
                <w:rFonts w:ascii="Franklin Gothic Book" w:hAnsi="Franklin Gothic Book"/>
                <w:color w:val="00B0F0"/>
              </w:rPr>
              <w:t>sector developments and industry outlook in light of C</w:t>
            </w:r>
            <w:r w:rsidR="2215C562" w:rsidRPr="68CBBC64">
              <w:rPr>
                <w:rFonts w:ascii="Franklin Gothic Book" w:hAnsi="Franklin Gothic Book"/>
                <w:color w:val="00B0F0"/>
              </w:rPr>
              <w:t>ovid</w:t>
            </w:r>
            <w:r w:rsidRPr="68CBBC64">
              <w:rPr>
                <w:rFonts w:ascii="Franklin Gothic Book" w:hAnsi="Franklin Gothic Book"/>
                <w:color w:val="00B0F0"/>
              </w:rPr>
              <w:t xml:space="preserve">-19 </w:t>
            </w:r>
            <w:r w:rsidR="00A76690">
              <w:rPr>
                <w:rFonts w:ascii="Franklin Gothic Book" w:hAnsi="Franklin Gothic Book"/>
                <w:color w:val="00B0F0"/>
              </w:rPr>
              <w:t>and the energy transition.</w:t>
            </w:r>
          </w:p>
          <w:p w14:paraId="55465A0A" w14:textId="35393CC2" w:rsidR="00871094" w:rsidRDefault="004E76B0" w:rsidP="00733CC3">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lang w:eastAsia="fr-FR" w:bidi="ar-SA"/>
              </w:rPr>
            </w:pPr>
            <w:r w:rsidRPr="68CBBC64">
              <w:rPr>
                <w:rFonts w:ascii="Franklin Gothic Book" w:hAnsi="Franklin Gothic Book" w:cs="Calibri"/>
                <w:color w:val="00B0F0"/>
                <w:lang w:eastAsia="fr-FR" w:bidi="ar-SA"/>
              </w:rPr>
              <w:t xml:space="preserve">Effects </w:t>
            </w:r>
            <w:r w:rsidR="00733CC3" w:rsidRPr="68CBBC64">
              <w:rPr>
                <w:rFonts w:ascii="Franklin Gothic Book" w:hAnsi="Franklin Gothic Book" w:cs="Calibri"/>
                <w:color w:val="00B0F0"/>
                <w:lang w:eastAsia="fr-FR" w:bidi="ar-SA"/>
              </w:rPr>
              <w:t>of C</w:t>
            </w:r>
            <w:r w:rsidR="36B54676" w:rsidRPr="68CBBC64">
              <w:rPr>
                <w:rFonts w:ascii="Franklin Gothic Book" w:hAnsi="Franklin Gothic Book" w:cs="Calibri"/>
                <w:color w:val="00B0F0"/>
                <w:lang w:eastAsia="fr-FR" w:bidi="ar-SA"/>
              </w:rPr>
              <w:t>ovid</w:t>
            </w:r>
            <w:r w:rsidR="00733CC3" w:rsidRPr="68CBBC64">
              <w:rPr>
                <w:rFonts w:ascii="Franklin Gothic Book" w:hAnsi="Franklin Gothic Book" w:cs="Calibri"/>
                <w:color w:val="00B0F0"/>
                <w:lang w:eastAsia="fr-FR" w:bidi="ar-SA"/>
              </w:rPr>
              <w:t xml:space="preserve">-19 </w:t>
            </w:r>
            <w:r w:rsidR="00A76690">
              <w:rPr>
                <w:rFonts w:ascii="Franklin Gothic Book" w:hAnsi="Franklin Gothic Book" w:cs="Calibri"/>
                <w:color w:val="00B0F0"/>
                <w:lang w:eastAsia="fr-FR" w:bidi="ar-SA"/>
              </w:rPr>
              <w:t>and the energy transition</w:t>
            </w:r>
            <w:r w:rsidR="00733CC3" w:rsidRPr="68CBBC64">
              <w:rPr>
                <w:rFonts w:ascii="Franklin Gothic Book" w:hAnsi="Franklin Gothic Book" w:cs="Calibri"/>
                <w:color w:val="00B0F0"/>
                <w:lang w:eastAsia="fr-FR" w:bidi="ar-SA"/>
              </w:rPr>
              <w:t xml:space="preserve"> </w:t>
            </w:r>
            <w:r w:rsidRPr="68CBBC64">
              <w:rPr>
                <w:rFonts w:ascii="Franklin Gothic Book" w:hAnsi="Franklin Gothic Book" w:cs="Calibri"/>
                <w:color w:val="00B0F0"/>
                <w:lang w:eastAsia="fr-FR" w:bidi="ar-SA"/>
              </w:rPr>
              <w:t>on exploration or development plans</w:t>
            </w:r>
            <w:r w:rsidR="00A76690">
              <w:rPr>
                <w:rFonts w:ascii="Franklin Gothic Book" w:hAnsi="Franklin Gothic Book" w:cs="Calibri"/>
                <w:color w:val="00B0F0"/>
                <w:lang w:eastAsia="fr-FR" w:bidi="ar-SA"/>
              </w:rPr>
              <w:t>.</w:t>
            </w:r>
          </w:p>
          <w:p w14:paraId="3DC44025" w14:textId="61B35E96" w:rsidR="00A76690" w:rsidRPr="00883CCA" w:rsidRDefault="00A76690" w:rsidP="00733CC3">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lang w:eastAsia="fr-FR" w:bidi="ar-SA"/>
              </w:rPr>
            </w:pPr>
            <w:r>
              <w:rPr>
                <w:rFonts w:ascii="Franklin Gothic Book" w:hAnsi="Franklin Gothic Book" w:cs="Calibri"/>
                <w:color w:val="00B0F0"/>
                <w:lang w:eastAsia="fr-FR" w:bidi="ar-SA"/>
              </w:rPr>
              <w:t xml:space="preserve">Overview of </w:t>
            </w:r>
            <w:r w:rsidR="00E30D88">
              <w:rPr>
                <w:rFonts w:ascii="Franklin Gothic Book" w:hAnsi="Franklin Gothic Book" w:cs="Calibri"/>
                <w:color w:val="00B0F0"/>
                <w:lang w:eastAsia="fr-FR" w:bidi="ar-SA"/>
              </w:rPr>
              <w:t>estimated and proved reserves.</w:t>
            </w:r>
          </w:p>
        </w:tc>
      </w:tr>
      <w:tr w:rsidR="00871094" w:rsidRPr="00233966" w14:paraId="1FACD0B8" w14:textId="77777777" w:rsidTr="68CBBC64">
        <w:tc>
          <w:tcPr>
            <w:tcW w:w="2977" w:type="dxa"/>
            <w:shd w:val="clear" w:color="auto" w:fill="auto"/>
          </w:tcPr>
          <w:p w14:paraId="4CECBA68" w14:textId="77777777" w:rsidR="00871094" w:rsidRPr="00FD1ABC" w:rsidRDefault="00871094" w:rsidP="00B42278">
            <w:pPr>
              <w:tabs>
                <w:tab w:val="left" w:pos="426"/>
                <w:tab w:val="left" w:pos="709"/>
              </w:tabs>
              <w:spacing w:before="120" w:after="120" w:line="240" w:lineRule="exact"/>
              <w:jc w:val="left"/>
              <w:rPr>
                <w:rFonts w:ascii="Franklin Gothic Book" w:hAnsi="Franklin Gothic Book" w:cs="Calibri"/>
                <w:color w:val="000000" w:themeColor="text1"/>
                <w:lang w:eastAsia="fr-FR" w:bidi="ar-SA"/>
              </w:rPr>
            </w:pPr>
            <w:r w:rsidRPr="00FD1ABC">
              <w:rPr>
                <w:rFonts w:ascii="Franklin Gothic Book" w:hAnsi="Franklin Gothic Book" w:cs="Calibri"/>
                <w:color w:val="000000" w:themeColor="text1"/>
                <w:lang w:eastAsia="fr-FR" w:bidi="ar-SA"/>
              </w:rPr>
              <w:t>Production and export data in accordance with EITI Requirement 3.2 and 3.3</w:t>
            </w:r>
            <w:r>
              <w:rPr>
                <w:rFonts w:ascii="Franklin Gothic Book" w:hAnsi="Franklin Gothic Book" w:cs="Calibri"/>
                <w:color w:val="000000" w:themeColor="text1"/>
                <w:lang w:eastAsia="fr-FR" w:bidi="ar-SA"/>
              </w:rPr>
              <w:t>.</w:t>
            </w:r>
          </w:p>
        </w:tc>
        <w:tc>
          <w:tcPr>
            <w:tcW w:w="5699" w:type="dxa"/>
          </w:tcPr>
          <w:p w14:paraId="27723C7A" w14:textId="3C403132" w:rsidR="00733CC3" w:rsidRPr="00883CCA" w:rsidRDefault="00733CC3" w:rsidP="00733CC3">
            <w:pPr>
              <w:tabs>
                <w:tab w:val="left" w:pos="426"/>
                <w:tab w:val="left" w:pos="709"/>
              </w:tabs>
              <w:spacing w:before="120" w:after="120" w:line="240" w:lineRule="exact"/>
              <w:jc w:val="left"/>
              <w:rPr>
                <w:rFonts w:ascii="Franklin Gothic Book" w:hAnsi="Franklin Gothic Book" w:cs="Calibri"/>
                <w:color w:val="00B0F0"/>
                <w:lang w:eastAsia="fr-FR" w:bidi="ar-SA"/>
              </w:rPr>
            </w:pPr>
            <w:r w:rsidRPr="00883CCA">
              <w:rPr>
                <w:rFonts w:ascii="Franklin Gothic Book" w:hAnsi="Franklin Gothic Book" w:cs="Calibri"/>
                <w:color w:val="00B0F0"/>
                <w:lang w:eastAsia="fr-FR" w:bidi="ar-SA"/>
              </w:rPr>
              <w:t xml:space="preserve">The MSG could consider </w:t>
            </w:r>
            <w:r w:rsidR="0073165D">
              <w:rPr>
                <w:rFonts w:ascii="Franklin Gothic Book" w:hAnsi="Franklin Gothic Book" w:cs="Calibri"/>
                <w:color w:val="00B0F0"/>
                <w:lang w:eastAsia="fr-FR" w:bidi="ar-SA"/>
              </w:rPr>
              <w:t xml:space="preserve">also </w:t>
            </w:r>
            <w:r w:rsidRPr="00883CCA">
              <w:rPr>
                <w:rFonts w:ascii="Franklin Gothic Book" w:hAnsi="Franklin Gothic Book" w:cs="Calibri"/>
                <w:color w:val="00B0F0"/>
                <w:lang w:eastAsia="fr-FR" w:bidi="ar-SA"/>
              </w:rPr>
              <w:t>covering:</w:t>
            </w:r>
          </w:p>
          <w:p w14:paraId="4BDBBB3D" w14:textId="2B19373D" w:rsidR="004E76B0" w:rsidRPr="00883CCA" w:rsidRDefault="00BF08A7" w:rsidP="00733CC3">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lang w:eastAsia="fr-FR" w:bidi="ar-SA"/>
              </w:rPr>
            </w:pPr>
            <w:r>
              <w:rPr>
                <w:rFonts w:ascii="Franklin Gothic Book" w:hAnsi="Franklin Gothic Book" w:cs="Calibri"/>
                <w:color w:val="00B0F0"/>
                <w:lang w:eastAsia="fr-FR" w:bidi="ar-SA"/>
              </w:rPr>
              <w:t>Potential e</w:t>
            </w:r>
            <w:r w:rsidRPr="68CBBC64">
              <w:rPr>
                <w:rFonts w:ascii="Franklin Gothic Book" w:hAnsi="Franklin Gothic Book" w:cs="Calibri"/>
                <w:color w:val="00B0F0"/>
                <w:lang w:eastAsia="fr-FR" w:bidi="ar-SA"/>
              </w:rPr>
              <w:t xml:space="preserve">ffects of Covid-19 </w:t>
            </w:r>
            <w:r>
              <w:rPr>
                <w:rFonts w:ascii="Franklin Gothic Book" w:hAnsi="Franklin Gothic Book" w:cs="Calibri"/>
                <w:color w:val="00B0F0"/>
                <w:lang w:eastAsia="fr-FR" w:bidi="ar-SA"/>
              </w:rPr>
              <w:t xml:space="preserve">or the energy transition </w:t>
            </w:r>
            <w:r w:rsidR="4652ED1C" w:rsidRPr="68CBBC64">
              <w:rPr>
                <w:rFonts w:ascii="Franklin Gothic Book" w:hAnsi="Franklin Gothic Book" w:cs="Calibri"/>
                <w:color w:val="00B0F0"/>
                <w:lang w:eastAsia="fr-FR" w:bidi="ar-SA"/>
              </w:rPr>
              <w:t>projected and actual production and export, disaggregated by commodity, company and project</w:t>
            </w:r>
          </w:p>
          <w:p w14:paraId="30B80BE3" w14:textId="7E6771D3" w:rsidR="00733CC3" w:rsidRPr="00883CCA" w:rsidRDefault="00733CC3" w:rsidP="00733CC3">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lang w:eastAsia="fr-FR" w:bidi="ar-SA"/>
              </w:rPr>
            </w:pPr>
            <w:r w:rsidRPr="00883CCA">
              <w:rPr>
                <w:rFonts w:ascii="Franklin Gothic Book" w:hAnsi="Franklin Gothic Book" w:cs="Calibri"/>
                <w:color w:val="00B0F0"/>
                <w:lang w:eastAsia="fr-FR" w:bidi="ar-SA"/>
              </w:rPr>
              <w:t>Production volumes and value</w:t>
            </w:r>
            <w:r w:rsidR="00AB72C0" w:rsidRPr="00883CCA">
              <w:rPr>
                <w:rFonts w:ascii="Franklin Gothic Book" w:hAnsi="Franklin Gothic Book" w:cs="Calibri"/>
                <w:color w:val="00B0F0"/>
                <w:lang w:eastAsia="fr-FR" w:bidi="ar-SA"/>
              </w:rPr>
              <w:t>s disaggregated by company and project for 20</w:t>
            </w:r>
            <w:r w:rsidR="00BF08A7">
              <w:rPr>
                <w:rFonts w:ascii="Franklin Gothic Book" w:hAnsi="Franklin Gothic Book" w:cs="Calibri"/>
                <w:color w:val="00B0F0"/>
                <w:lang w:eastAsia="fr-FR" w:bidi="ar-SA"/>
              </w:rPr>
              <w:t>20</w:t>
            </w:r>
            <w:r w:rsidR="00AB72C0" w:rsidRPr="00883CCA">
              <w:rPr>
                <w:rFonts w:ascii="Franklin Gothic Book" w:hAnsi="Franklin Gothic Book" w:cs="Calibri"/>
                <w:color w:val="00B0F0"/>
                <w:lang w:eastAsia="fr-FR" w:bidi="ar-SA"/>
              </w:rPr>
              <w:t>18 and to the extent possible 20</w:t>
            </w:r>
            <w:r w:rsidR="00BF08A7">
              <w:rPr>
                <w:rFonts w:ascii="Franklin Gothic Book" w:hAnsi="Franklin Gothic Book" w:cs="Calibri"/>
                <w:color w:val="00B0F0"/>
                <w:lang w:eastAsia="fr-FR" w:bidi="ar-SA"/>
              </w:rPr>
              <w:t>21</w:t>
            </w:r>
            <w:r w:rsidR="00AB72C0" w:rsidRPr="00883CCA">
              <w:rPr>
                <w:rFonts w:ascii="Franklin Gothic Book" w:hAnsi="Franklin Gothic Book" w:cs="Calibri"/>
                <w:color w:val="00B0F0"/>
                <w:lang w:eastAsia="fr-FR" w:bidi="ar-SA"/>
              </w:rPr>
              <w:t>. Some countries may be able to provide information for early 202</w:t>
            </w:r>
            <w:r w:rsidR="00BF08A7">
              <w:rPr>
                <w:rFonts w:ascii="Franklin Gothic Book" w:hAnsi="Franklin Gothic Book" w:cs="Calibri"/>
                <w:color w:val="00B0F0"/>
                <w:lang w:eastAsia="fr-FR" w:bidi="ar-SA"/>
              </w:rPr>
              <w:t>2</w:t>
            </w:r>
            <w:r w:rsidR="00AB72C0" w:rsidRPr="00883CCA">
              <w:rPr>
                <w:rFonts w:ascii="Franklin Gothic Book" w:hAnsi="Franklin Gothic Book" w:cs="Calibri"/>
                <w:color w:val="00B0F0"/>
                <w:lang w:eastAsia="fr-FR" w:bidi="ar-SA"/>
              </w:rPr>
              <w:t>.</w:t>
            </w:r>
          </w:p>
        </w:tc>
      </w:tr>
      <w:tr w:rsidR="00871094" w:rsidRPr="00233966" w14:paraId="66A7DC0F" w14:textId="77777777" w:rsidTr="68CBBC64">
        <w:tc>
          <w:tcPr>
            <w:tcW w:w="2977" w:type="dxa"/>
            <w:shd w:val="clear" w:color="auto" w:fill="auto"/>
          </w:tcPr>
          <w:p w14:paraId="43CFE0BC" w14:textId="67DC17E4" w:rsidR="00871094" w:rsidRPr="00FD1ABC" w:rsidRDefault="004302B0" w:rsidP="00B42278">
            <w:pPr>
              <w:tabs>
                <w:tab w:val="left" w:pos="426"/>
                <w:tab w:val="left" w:pos="709"/>
              </w:tabs>
              <w:spacing w:before="120" w:after="120" w:line="240" w:lineRule="exact"/>
              <w:jc w:val="left"/>
              <w:rPr>
                <w:rFonts w:ascii="Franklin Gothic Book" w:hAnsi="Franklin Gothic Book" w:cs="Calibri"/>
                <w:color w:val="000000" w:themeColor="text1"/>
                <w:lang w:eastAsia="fr-FR" w:bidi="ar-SA"/>
              </w:rPr>
            </w:pPr>
            <w:r>
              <w:rPr>
                <w:rFonts w:ascii="Franklin Gothic Book" w:hAnsi="Franklin Gothic Book" w:cs="Calibri"/>
                <w:color w:val="000000" w:themeColor="text1"/>
                <w:lang w:eastAsia="fr-FR" w:bidi="ar-SA"/>
              </w:rPr>
              <w:t xml:space="preserve">Comprehensive </w:t>
            </w:r>
            <w:r w:rsidR="00AB72C0">
              <w:rPr>
                <w:rFonts w:ascii="Franklin Gothic Book" w:hAnsi="Franklin Gothic Book" w:cs="Calibri"/>
                <w:color w:val="000000" w:themeColor="text1"/>
                <w:lang w:eastAsia="fr-FR" w:bidi="ar-SA"/>
              </w:rPr>
              <w:t xml:space="preserve">unilateral </w:t>
            </w:r>
            <w:r>
              <w:rPr>
                <w:rFonts w:ascii="Franklin Gothic Book" w:hAnsi="Franklin Gothic Book" w:cs="Calibri"/>
                <w:color w:val="000000" w:themeColor="text1"/>
                <w:lang w:eastAsia="fr-FR" w:bidi="ar-SA"/>
              </w:rPr>
              <w:t>disclosures of taxes and revenues from the extractive industries, disaggregated by project, in accordance with Requirement 4.1 and 4.7</w:t>
            </w:r>
            <w:r w:rsidR="00AB72C0">
              <w:rPr>
                <w:rFonts w:ascii="Franklin Gothic Book" w:hAnsi="Franklin Gothic Book" w:cs="Calibri"/>
                <w:color w:val="000000" w:themeColor="text1"/>
                <w:lang w:eastAsia="fr-FR" w:bidi="ar-SA"/>
              </w:rPr>
              <w:t xml:space="preserve">. </w:t>
            </w:r>
            <w:r>
              <w:rPr>
                <w:rFonts w:ascii="Franklin Gothic Book" w:hAnsi="Franklin Gothic Book" w:cs="Calibri"/>
                <w:color w:val="000000" w:themeColor="text1"/>
                <w:lang w:eastAsia="fr-FR" w:bidi="ar-SA"/>
              </w:rPr>
              <w:t xml:space="preserve"> </w:t>
            </w:r>
          </w:p>
        </w:tc>
        <w:tc>
          <w:tcPr>
            <w:tcW w:w="5699" w:type="dxa"/>
          </w:tcPr>
          <w:p w14:paraId="1C245184" w14:textId="05AC181F" w:rsidR="00AB72C0" w:rsidRPr="00883CCA" w:rsidRDefault="00AB72C0" w:rsidP="00AB72C0">
            <w:pPr>
              <w:tabs>
                <w:tab w:val="left" w:pos="426"/>
                <w:tab w:val="left" w:pos="709"/>
              </w:tabs>
              <w:spacing w:before="120" w:after="120" w:line="240" w:lineRule="exact"/>
              <w:jc w:val="left"/>
              <w:rPr>
                <w:rFonts w:ascii="Franklin Gothic Book" w:hAnsi="Franklin Gothic Book" w:cs="Calibri"/>
                <w:color w:val="00B0F0"/>
                <w:lang w:eastAsia="fr-FR" w:bidi="ar-SA"/>
              </w:rPr>
            </w:pPr>
            <w:r w:rsidRPr="00883CCA">
              <w:rPr>
                <w:rFonts w:ascii="Franklin Gothic Book" w:hAnsi="Franklin Gothic Book" w:cs="Calibri"/>
                <w:color w:val="00B0F0"/>
                <w:lang w:eastAsia="fr-FR" w:bidi="ar-SA"/>
              </w:rPr>
              <w:t xml:space="preserve">The MSG could consider </w:t>
            </w:r>
            <w:r w:rsidR="0073165D">
              <w:rPr>
                <w:rFonts w:ascii="Franklin Gothic Book" w:hAnsi="Franklin Gothic Book" w:cs="Calibri"/>
                <w:color w:val="00B0F0"/>
                <w:lang w:eastAsia="fr-FR" w:bidi="ar-SA"/>
              </w:rPr>
              <w:t xml:space="preserve">also </w:t>
            </w:r>
            <w:r w:rsidRPr="00883CCA">
              <w:rPr>
                <w:rFonts w:ascii="Franklin Gothic Book" w:hAnsi="Franklin Gothic Book" w:cs="Calibri"/>
                <w:color w:val="00B0F0"/>
                <w:lang w:eastAsia="fr-FR" w:bidi="ar-SA"/>
              </w:rPr>
              <w:t>covering:</w:t>
            </w:r>
          </w:p>
          <w:p w14:paraId="3857F05F" w14:textId="618698AC" w:rsidR="00AB72C0" w:rsidRDefault="00BF08A7" w:rsidP="00AB72C0">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lang w:eastAsia="fr-FR" w:bidi="ar-SA"/>
              </w:rPr>
            </w:pPr>
            <w:r>
              <w:rPr>
                <w:rFonts w:ascii="Franklin Gothic Book" w:hAnsi="Franklin Gothic Book" w:cs="Calibri"/>
                <w:color w:val="00B0F0"/>
                <w:lang w:eastAsia="fr-FR" w:bidi="ar-SA"/>
              </w:rPr>
              <w:t>Potential e</w:t>
            </w:r>
            <w:r w:rsidR="4652ED1C" w:rsidRPr="68CBBC64">
              <w:rPr>
                <w:rFonts w:ascii="Franklin Gothic Book" w:hAnsi="Franklin Gothic Book" w:cs="Calibri"/>
                <w:color w:val="00B0F0"/>
                <w:lang w:eastAsia="fr-FR" w:bidi="ar-SA"/>
              </w:rPr>
              <w:t>ffects of C</w:t>
            </w:r>
            <w:r w:rsidR="2F1241AD" w:rsidRPr="68CBBC64">
              <w:rPr>
                <w:rFonts w:ascii="Franklin Gothic Book" w:hAnsi="Franklin Gothic Book" w:cs="Calibri"/>
                <w:color w:val="00B0F0"/>
                <w:lang w:eastAsia="fr-FR" w:bidi="ar-SA"/>
              </w:rPr>
              <w:t>ovid</w:t>
            </w:r>
            <w:r w:rsidR="4652ED1C" w:rsidRPr="68CBBC64">
              <w:rPr>
                <w:rFonts w:ascii="Franklin Gothic Book" w:hAnsi="Franklin Gothic Book" w:cs="Calibri"/>
                <w:color w:val="00B0F0"/>
                <w:lang w:eastAsia="fr-FR" w:bidi="ar-SA"/>
              </w:rPr>
              <w:t xml:space="preserve">-19 </w:t>
            </w:r>
            <w:r w:rsidR="00146179">
              <w:rPr>
                <w:rFonts w:ascii="Franklin Gothic Book" w:hAnsi="Franklin Gothic Book" w:cs="Calibri"/>
                <w:color w:val="00B0F0"/>
                <w:lang w:eastAsia="fr-FR" w:bidi="ar-SA"/>
              </w:rPr>
              <w:t xml:space="preserve">or the energy transition </w:t>
            </w:r>
            <w:r w:rsidR="4652ED1C" w:rsidRPr="68CBBC64">
              <w:rPr>
                <w:rFonts w:ascii="Franklin Gothic Book" w:hAnsi="Franklin Gothic Book" w:cs="Calibri"/>
                <w:color w:val="00B0F0"/>
                <w:lang w:eastAsia="fr-FR" w:bidi="ar-SA"/>
              </w:rPr>
              <w:t>on projected and actual revenues and taxes from the extractive industries for 20</w:t>
            </w:r>
            <w:r>
              <w:rPr>
                <w:rFonts w:ascii="Franklin Gothic Book" w:hAnsi="Franklin Gothic Book" w:cs="Calibri"/>
                <w:color w:val="00B0F0"/>
                <w:lang w:eastAsia="fr-FR" w:bidi="ar-SA"/>
              </w:rPr>
              <w:t>20</w:t>
            </w:r>
            <w:r w:rsidR="4652ED1C" w:rsidRPr="68CBBC64">
              <w:rPr>
                <w:rFonts w:ascii="Franklin Gothic Book" w:hAnsi="Franklin Gothic Book" w:cs="Calibri"/>
                <w:color w:val="00B0F0"/>
                <w:lang w:eastAsia="fr-FR" w:bidi="ar-SA"/>
              </w:rPr>
              <w:t xml:space="preserve"> and to the </w:t>
            </w:r>
            <w:r w:rsidR="04BB3DFF" w:rsidRPr="68CBBC64">
              <w:rPr>
                <w:rFonts w:ascii="Franklin Gothic Book" w:hAnsi="Franklin Gothic Book" w:cs="Calibri"/>
                <w:color w:val="00B0F0"/>
                <w:lang w:eastAsia="fr-FR" w:bidi="ar-SA"/>
              </w:rPr>
              <w:t xml:space="preserve">extent </w:t>
            </w:r>
            <w:r w:rsidR="4652ED1C" w:rsidRPr="68CBBC64">
              <w:rPr>
                <w:rFonts w:ascii="Franklin Gothic Book" w:hAnsi="Franklin Gothic Book" w:cs="Calibri"/>
                <w:color w:val="00B0F0"/>
                <w:lang w:eastAsia="fr-FR" w:bidi="ar-SA"/>
              </w:rPr>
              <w:t>possible 20</w:t>
            </w:r>
            <w:r>
              <w:rPr>
                <w:rFonts w:ascii="Franklin Gothic Book" w:hAnsi="Franklin Gothic Book" w:cs="Calibri"/>
                <w:color w:val="00B0F0"/>
                <w:lang w:eastAsia="fr-FR" w:bidi="ar-SA"/>
              </w:rPr>
              <w:t>21</w:t>
            </w:r>
            <w:r w:rsidR="4652ED1C" w:rsidRPr="68CBBC64">
              <w:rPr>
                <w:rFonts w:ascii="Franklin Gothic Book" w:hAnsi="Franklin Gothic Book" w:cs="Calibri"/>
                <w:color w:val="00B0F0"/>
                <w:lang w:eastAsia="fr-FR" w:bidi="ar-SA"/>
              </w:rPr>
              <w:t>19. Some countries may be able to provide information for early 202</w:t>
            </w:r>
            <w:r>
              <w:rPr>
                <w:rFonts w:ascii="Franklin Gothic Book" w:hAnsi="Franklin Gothic Book" w:cs="Calibri"/>
                <w:color w:val="00B0F0"/>
                <w:lang w:eastAsia="fr-FR" w:bidi="ar-SA"/>
              </w:rPr>
              <w:t>2</w:t>
            </w:r>
            <w:r w:rsidR="4652ED1C" w:rsidRPr="68CBBC64">
              <w:rPr>
                <w:rFonts w:ascii="Franklin Gothic Book" w:hAnsi="Franklin Gothic Book" w:cs="Calibri"/>
                <w:color w:val="00B0F0"/>
                <w:lang w:eastAsia="fr-FR" w:bidi="ar-SA"/>
              </w:rPr>
              <w:t>.</w:t>
            </w:r>
          </w:p>
          <w:p w14:paraId="10383653" w14:textId="4C7686D9" w:rsidR="007C4885" w:rsidRPr="00883CCA" w:rsidRDefault="007C4885" w:rsidP="00AB72C0">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lang w:eastAsia="fr-FR" w:bidi="ar-SA"/>
              </w:rPr>
            </w:pPr>
            <w:r>
              <w:rPr>
                <w:rFonts w:ascii="Franklin Gothic Book" w:hAnsi="Franklin Gothic Book" w:cs="Calibri"/>
                <w:color w:val="00B0F0"/>
                <w:lang w:eastAsia="fr-FR" w:bidi="ar-SA"/>
              </w:rPr>
              <w:t xml:space="preserve">Analysis of potentially foregone revenues where fiscal relief has been provided or </w:t>
            </w:r>
            <w:r w:rsidR="00016703">
              <w:rPr>
                <w:rFonts w:ascii="Franklin Gothic Book" w:hAnsi="Franklin Gothic Book" w:cs="Calibri"/>
                <w:color w:val="00B0F0"/>
                <w:lang w:eastAsia="fr-FR" w:bidi="ar-SA"/>
              </w:rPr>
              <w:t xml:space="preserve">is </w:t>
            </w:r>
            <w:r>
              <w:rPr>
                <w:rFonts w:ascii="Franklin Gothic Book" w:hAnsi="Franklin Gothic Book" w:cs="Calibri"/>
                <w:color w:val="00B0F0"/>
                <w:lang w:eastAsia="fr-FR" w:bidi="ar-SA"/>
              </w:rPr>
              <w:t>being considered to the industry.</w:t>
            </w:r>
          </w:p>
          <w:p w14:paraId="18ED677D" w14:textId="26EC0989" w:rsidR="00871094" w:rsidRPr="00883CCA" w:rsidRDefault="00AB72C0" w:rsidP="004302B0">
            <w:pPr>
              <w:tabs>
                <w:tab w:val="left" w:pos="426"/>
                <w:tab w:val="left" w:pos="709"/>
              </w:tabs>
              <w:spacing w:before="120" w:after="120" w:line="240" w:lineRule="exact"/>
              <w:jc w:val="left"/>
              <w:rPr>
                <w:rFonts w:ascii="Franklin Gothic Book" w:hAnsi="Franklin Gothic Book" w:cs="Calibri"/>
                <w:color w:val="00B0F0"/>
                <w:lang w:eastAsia="fr-FR" w:bidi="ar-SA"/>
              </w:rPr>
            </w:pPr>
            <w:r w:rsidRPr="00883CCA">
              <w:rPr>
                <w:rFonts w:ascii="Franklin Gothic Book" w:hAnsi="Franklin Gothic Book" w:cs="Calibri"/>
                <w:color w:val="00B0F0"/>
                <w:lang w:eastAsia="fr-FR" w:bidi="ar-SA"/>
              </w:rPr>
              <w:lastRenderedPageBreak/>
              <w:t xml:space="preserve">The MSG could consider using Parts 3, 4 and 5 </w:t>
            </w:r>
            <w:r w:rsidR="00CF5970">
              <w:rPr>
                <w:rFonts w:ascii="Franklin Gothic Book" w:hAnsi="Franklin Gothic Book" w:cs="Calibri"/>
                <w:color w:val="00B0F0"/>
                <w:lang w:eastAsia="fr-FR" w:bidi="ar-SA"/>
              </w:rPr>
              <w:t xml:space="preserve">in </w:t>
            </w:r>
            <w:r w:rsidR="003C000B">
              <w:rPr>
                <w:rFonts w:ascii="Franklin Gothic Book" w:hAnsi="Franklin Gothic Book" w:cs="Calibri"/>
                <w:color w:val="00B0F0"/>
                <w:lang w:eastAsia="fr-FR" w:bidi="ar-SA"/>
              </w:rPr>
              <w:t xml:space="preserve">the Validation data collection template on Transparency </w:t>
            </w:r>
            <w:r w:rsidR="00CF5970">
              <w:rPr>
                <w:rFonts w:ascii="Franklin Gothic Book" w:hAnsi="Franklin Gothic Book" w:cs="Calibri"/>
                <w:color w:val="00B0F0"/>
                <w:lang w:eastAsia="fr-FR" w:bidi="ar-SA"/>
              </w:rPr>
              <w:t xml:space="preserve">(which are the same as in </w:t>
            </w:r>
            <w:r w:rsidR="00CF5970" w:rsidRPr="00883CCA">
              <w:rPr>
                <w:rFonts w:ascii="Franklin Gothic Book" w:hAnsi="Franklin Gothic Book" w:cs="Calibri"/>
                <w:color w:val="00B0F0"/>
                <w:lang w:eastAsia="fr-FR" w:bidi="ar-SA"/>
              </w:rPr>
              <w:t>the summary data template</w:t>
            </w:r>
            <w:r w:rsidR="00CF5970">
              <w:rPr>
                <w:rFonts w:ascii="Franklin Gothic Book" w:hAnsi="Franklin Gothic Book" w:cs="Calibri"/>
                <w:color w:val="00B0F0"/>
                <w:lang w:eastAsia="fr-FR" w:bidi="ar-SA"/>
              </w:rPr>
              <w:t>)</w:t>
            </w:r>
            <w:r w:rsidR="00CF5970" w:rsidRPr="00883CCA">
              <w:rPr>
                <w:rFonts w:ascii="Franklin Gothic Book" w:hAnsi="Franklin Gothic Book" w:cs="Calibri"/>
                <w:color w:val="00B0F0"/>
                <w:lang w:eastAsia="fr-FR" w:bidi="ar-SA"/>
              </w:rPr>
              <w:t xml:space="preserve"> </w:t>
            </w:r>
            <w:r w:rsidRPr="00883CCA">
              <w:rPr>
                <w:rFonts w:ascii="Franklin Gothic Book" w:hAnsi="Franklin Gothic Book" w:cs="Calibri"/>
                <w:color w:val="00B0F0"/>
                <w:lang w:eastAsia="fr-FR" w:bidi="ar-SA"/>
              </w:rPr>
              <w:t>to compile and disclose revenue data disaggregated by project.</w:t>
            </w:r>
            <w:r w:rsidR="00045305">
              <w:rPr>
                <w:rFonts w:ascii="Franklin Gothic Book" w:hAnsi="Franklin Gothic Book" w:cs="Calibri"/>
                <w:color w:val="00B0F0"/>
                <w:lang w:eastAsia="fr-FR" w:bidi="ar-SA"/>
              </w:rPr>
              <w:t xml:space="preserve"> </w:t>
            </w:r>
          </w:p>
        </w:tc>
      </w:tr>
      <w:tr w:rsidR="00871094" w:rsidRPr="00233966" w14:paraId="136BEAEB" w14:textId="77777777" w:rsidTr="68CBBC64">
        <w:tc>
          <w:tcPr>
            <w:tcW w:w="2977" w:type="dxa"/>
            <w:shd w:val="clear" w:color="auto" w:fill="auto"/>
          </w:tcPr>
          <w:p w14:paraId="50B20763" w14:textId="616203AD" w:rsidR="004302B0" w:rsidRPr="00FD1ABC" w:rsidRDefault="004302B0" w:rsidP="008306FF">
            <w:pPr>
              <w:tabs>
                <w:tab w:val="left" w:pos="426"/>
                <w:tab w:val="left" w:pos="709"/>
              </w:tabs>
              <w:spacing w:before="120" w:after="120" w:line="240" w:lineRule="exact"/>
              <w:jc w:val="left"/>
              <w:rPr>
                <w:rFonts w:ascii="Franklin Gothic Book" w:hAnsi="Franklin Gothic Book" w:cs="Calibri"/>
                <w:color w:val="000000" w:themeColor="text1"/>
                <w:lang w:eastAsia="fr-FR" w:bidi="ar-SA"/>
              </w:rPr>
            </w:pPr>
            <w:r>
              <w:rPr>
                <w:rFonts w:ascii="Franklin Gothic Book" w:hAnsi="Franklin Gothic Book" w:cs="Calibri"/>
                <w:color w:val="000000" w:themeColor="text1"/>
                <w:lang w:eastAsia="fr-FR" w:bidi="ar-SA"/>
              </w:rPr>
              <w:lastRenderedPageBreak/>
              <w:t>Information ab</w:t>
            </w:r>
            <w:r w:rsidR="008306FF">
              <w:rPr>
                <w:rFonts w:ascii="Franklin Gothic Book" w:hAnsi="Franklin Gothic Book" w:cs="Calibri"/>
                <w:color w:val="000000" w:themeColor="text1"/>
                <w:lang w:eastAsia="fr-FR" w:bidi="ar-SA"/>
              </w:rPr>
              <w:t>o</w:t>
            </w:r>
            <w:r>
              <w:rPr>
                <w:rFonts w:ascii="Franklin Gothic Book" w:hAnsi="Franklin Gothic Book" w:cs="Calibri"/>
                <w:color w:val="000000" w:themeColor="text1"/>
                <w:lang w:eastAsia="fr-FR" w:bidi="ar-SA"/>
              </w:rPr>
              <w:t xml:space="preserve">ut the </w:t>
            </w:r>
            <w:r w:rsidRPr="004302B0">
              <w:rPr>
                <w:rFonts w:ascii="Franklin Gothic Book" w:hAnsi="Franklin Gothic Book" w:cs="Calibri"/>
                <w:color w:val="000000" w:themeColor="text1"/>
                <w:lang w:eastAsia="fr-FR" w:bidi="ar-SA"/>
              </w:rPr>
              <w:t>sale of the state’s share of production or other revenues collected in-kind</w:t>
            </w:r>
            <w:r w:rsidR="008306FF">
              <w:rPr>
                <w:rFonts w:ascii="Franklin Gothic Book" w:hAnsi="Franklin Gothic Book" w:cs="Calibri"/>
                <w:color w:val="000000" w:themeColor="text1"/>
                <w:lang w:eastAsia="fr-FR" w:bidi="ar-SA"/>
              </w:rPr>
              <w:t>,</w:t>
            </w:r>
            <w:r w:rsidRPr="004302B0">
              <w:rPr>
                <w:rFonts w:ascii="Franklin Gothic Book" w:hAnsi="Franklin Gothic Book" w:cs="Calibri"/>
                <w:color w:val="000000" w:themeColor="text1"/>
                <w:lang w:eastAsia="fr-FR" w:bidi="ar-SA"/>
              </w:rPr>
              <w:t xml:space="preserve"> in accordance with Requirement 4.2.</w:t>
            </w:r>
          </w:p>
        </w:tc>
        <w:tc>
          <w:tcPr>
            <w:tcW w:w="5699" w:type="dxa"/>
          </w:tcPr>
          <w:p w14:paraId="23721AB6" w14:textId="3625FF48" w:rsidR="00AB72C0" w:rsidRPr="00883CCA" w:rsidRDefault="00AB72C0" w:rsidP="00AB72C0">
            <w:pPr>
              <w:tabs>
                <w:tab w:val="left" w:pos="426"/>
                <w:tab w:val="left" w:pos="709"/>
              </w:tabs>
              <w:spacing w:before="120" w:after="120" w:line="240" w:lineRule="exact"/>
              <w:jc w:val="left"/>
              <w:rPr>
                <w:rFonts w:ascii="Franklin Gothic Book" w:hAnsi="Franklin Gothic Book" w:cs="Calibri"/>
                <w:color w:val="00B0F0"/>
                <w:lang w:eastAsia="fr-FR" w:bidi="ar-SA"/>
              </w:rPr>
            </w:pPr>
            <w:r w:rsidRPr="00883CCA">
              <w:rPr>
                <w:rFonts w:ascii="Franklin Gothic Book" w:hAnsi="Franklin Gothic Book" w:cs="Calibri"/>
                <w:color w:val="00B0F0"/>
                <w:lang w:eastAsia="fr-FR" w:bidi="ar-SA"/>
              </w:rPr>
              <w:t xml:space="preserve">The MSG could consider </w:t>
            </w:r>
            <w:r w:rsidR="0073165D">
              <w:rPr>
                <w:rFonts w:ascii="Franklin Gothic Book" w:hAnsi="Franklin Gothic Book" w:cs="Calibri"/>
                <w:color w:val="00B0F0"/>
                <w:lang w:eastAsia="fr-FR" w:bidi="ar-SA"/>
              </w:rPr>
              <w:t xml:space="preserve">also </w:t>
            </w:r>
            <w:r w:rsidRPr="00883CCA">
              <w:rPr>
                <w:rFonts w:ascii="Franklin Gothic Book" w:hAnsi="Franklin Gothic Book" w:cs="Calibri"/>
                <w:color w:val="00B0F0"/>
                <w:lang w:eastAsia="fr-FR" w:bidi="ar-SA"/>
              </w:rPr>
              <w:t>covering:</w:t>
            </w:r>
          </w:p>
          <w:p w14:paraId="1B3345FD" w14:textId="77777777" w:rsidR="007C4885" w:rsidRDefault="4652ED1C" w:rsidP="007C4885">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lang w:eastAsia="fr-FR" w:bidi="ar-SA"/>
              </w:rPr>
            </w:pPr>
            <w:r w:rsidRPr="68CBBC64">
              <w:rPr>
                <w:rFonts w:ascii="Franklin Gothic Book" w:hAnsi="Franklin Gothic Book" w:cs="Calibri"/>
                <w:color w:val="00B0F0"/>
                <w:lang w:eastAsia="fr-FR" w:bidi="ar-SA"/>
              </w:rPr>
              <w:t>Effects of C</w:t>
            </w:r>
            <w:r w:rsidR="4D13CE73" w:rsidRPr="68CBBC64">
              <w:rPr>
                <w:rFonts w:ascii="Franklin Gothic Book" w:hAnsi="Franklin Gothic Book" w:cs="Calibri"/>
                <w:color w:val="00B0F0"/>
                <w:lang w:eastAsia="fr-FR" w:bidi="ar-SA"/>
              </w:rPr>
              <w:t>ovid</w:t>
            </w:r>
            <w:r w:rsidRPr="68CBBC64">
              <w:rPr>
                <w:rFonts w:ascii="Franklin Gothic Book" w:hAnsi="Franklin Gothic Book" w:cs="Calibri"/>
                <w:color w:val="00B0F0"/>
                <w:lang w:eastAsia="fr-FR" w:bidi="ar-SA"/>
              </w:rPr>
              <w:t>-19 and the declining commodity prices on expected revenues from the sale of the state’s share of production and other revenues collected in-kind.</w:t>
            </w:r>
            <w:r w:rsidR="30B1FB1B" w:rsidRPr="68CBBC64">
              <w:rPr>
                <w:rFonts w:ascii="Franklin Gothic Book" w:hAnsi="Franklin Gothic Book" w:cs="Calibri"/>
                <w:color w:val="00B0F0"/>
                <w:lang w:eastAsia="fr-FR" w:bidi="ar-SA"/>
              </w:rPr>
              <w:t xml:space="preserve"> This could include analysis of the potentially foregone revenues from commodity sales as a result of the declining prices.</w:t>
            </w:r>
          </w:p>
          <w:p w14:paraId="58D235EF" w14:textId="6C01CA76" w:rsidR="00A22E97" w:rsidRPr="007C4885" w:rsidRDefault="00A22E97" w:rsidP="007C4885">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lang w:eastAsia="fr-FR" w:bidi="ar-SA"/>
              </w:rPr>
            </w:pPr>
            <w:r>
              <w:rPr>
                <w:rFonts w:ascii="Franklin Gothic Book" w:hAnsi="Franklin Gothic Book" w:cs="Calibri"/>
                <w:color w:val="00B0F0"/>
                <w:lang w:eastAsia="fr-FR" w:bidi="ar-SA"/>
              </w:rPr>
              <w:t>Any changes in the management of proceeds of the sales of the state’s in-kind revenues</w:t>
            </w:r>
            <w:r w:rsidR="00140B01">
              <w:rPr>
                <w:rFonts w:ascii="Franklin Gothic Book" w:hAnsi="Franklin Gothic Book" w:cs="Calibri"/>
                <w:color w:val="00B0F0"/>
                <w:lang w:eastAsia="fr-FR" w:bidi="ar-SA"/>
              </w:rPr>
              <w:t xml:space="preserve"> due to the Covid-19 crisis, particularly when affecting </w:t>
            </w:r>
            <w:r w:rsidR="001822EB">
              <w:rPr>
                <w:rFonts w:ascii="Franklin Gothic Book" w:hAnsi="Franklin Gothic Book" w:cs="Calibri"/>
                <w:color w:val="00B0F0"/>
                <w:lang w:eastAsia="fr-FR" w:bidi="ar-SA"/>
              </w:rPr>
              <w:t>remittances</w:t>
            </w:r>
            <w:r w:rsidR="00140B01">
              <w:rPr>
                <w:rFonts w:ascii="Franklin Gothic Book" w:hAnsi="Franklin Gothic Book" w:cs="Calibri"/>
                <w:color w:val="00B0F0"/>
                <w:lang w:eastAsia="fr-FR" w:bidi="ar-SA"/>
              </w:rPr>
              <w:t xml:space="preserve"> to the Treasury </w:t>
            </w:r>
          </w:p>
        </w:tc>
      </w:tr>
      <w:tr w:rsidR="00871094" w:rsidRPr="00233966" w14:paraId="1B8883E5" w14:textId="77777777" w:rsidTr="68CBBC64">
        <w:tc>
          <w:tcPr>
            <w:tcW w:w="2977" w:type="dxa"/>
            <w:shd w:val="clear" w:color="auto" w:fill="auto"/>
          </w:tcPr>
          <w:p w14:paraId="2E1FEBB9" w14:textId="0AA0DA79" w:rsidR="00871094" w:rsidRPr="00FD1ABC" w:rsidRDefault="008306FF" w:rsidP="008306FF">
            <w:pPr>
              <w:tabs>
                <w:tab w:val="left" w:pos="426"/>
                <w:tab w:val="left" w:pos="709"/>
              </w:tabs>
              <w:spacing w:before="120" w:after="120" w:line="240" w:lineRule="exact"/>
              <w:jc w:val="left"/>
              <w:rPr>
                <w:rFonts w:ascii="Franklin Gothic Book" w:hAnsi="Franklin Gothic Book" w:cs="Calibri"/>
                <w:color w:val="000000" w:themeColor="text1"/>
                <w:lang w:eastAsia="fr-FR" w:bidi="ar-SA"/>
              </w:rPr>
            </w:pPr>
            <w:r>
              <w:rPr>
                <w:rFonts w:ascii="Franklin Gothic Book" w:hAnsi="Franklin Gothic Book" w:cs="Calibri"/>
                <w:color w:val="000000" w:themeColor="text1"/>
                <w:lang w:eastAsia="fr-FR" w:bidi="ar-SA"/>
              </w:rPr>
              <w:t xml:space="preserve">Information about </w:t>
            </w:r>
            <w:r w:rsidRPr="004302B0">
              <w:rPr>
                <w:rFonts w:ascii="Franklin Gothic Book" w:hAnsi="Franklin Gothic Book" w:cs="Calibri"/>
                <w:color w:val="000000" w:themeColor="text1"/>
                <w:lang w:eastAsia="fr-FR" w:bidi="ar-SA"/>
              </w:rPr>
              <w:t xml:space="preserve"> infrastructure provisions and barter arrangements</w:t>
            </w:r>
            <w:r>
              <w:rPr>
                <w:rFonts w:ascii="Franklin Gothic Book" w:hAnsi="Franklin Gothic Book" w:cs="Calibri"/>
                <w:color w:val="000000" w:themeColor="text1"/>
                <w:lang w:eastAsia="fr-FR" w:bidi="ar-SA"/>
              </w:rPr>
              <w:t>,</w:t>
            </w:r>
            <w:r w:rsidRPr="004302B0">
              <w:rPr>
                <w:rFonts w:ascii="Franklin Gothic Book" w:hAnsi="Franklin Gothic Book" w:cs="Calibri"/>
                <w:color w:val="000000" w:themeColor="text1"/>
                <w:lang w:eastAsia="fr-FR" w:bidi="ar-SA"/>
              </w:rPr>
              <w:t xml:space="preserve"> in accordance with Requirement 4.3.</w:t>
            </w:r>
          </w:p>
        </w:tc>
        <w:tc>
          <w:tcPr>
            <w:tcW w:w="5699" w:type="dxa"/>
          </w:tcPr>
          <w:p w14:paraId="239C2C55" w14:textId="6ABF3276" w:rsidR="00AB72C0" w:rsidRPr="00883CCA" w:rsidRDefault="00AB72C0" w:rsidP="00AB72C0">
            <w:pPr>
              <w:tabs>
                <w:tab w:val="left" w:pos="426"/>
                <w:tab w:val="left" w:pos="709"/>
              </w:tabs>
              <w:spacing w:before="120" w:after="120" w:line="240" w:lineRule="exact"/>
              <w:jc w:val="left"/>
              <w:rPr>
                <w:rFonts w:ascii="Franklin Gothic Book" w:hAnsi="Franklin Gothic Book" w:cs="Calibri"/>
                <w:color w:val="00B0F0"/>
                <w:lang w:eastAsia="fr-FR" w:bidi="ar-SA"/>
              </w:rPr>
            </w:pPr>
            <w:r w:rsidRPr="00883CCA">
              <w:rPr>
                <w:rFonts w:ascii="Franklin Gothic Book" w:hAnsi="Franklin Gothic Book" w:cs="Calibri"/>
                <w:color w:val="00B0F0"/>
                <w:lang w:eastAsia="fr-FR" w:bidi="ar-SA"/>
              </w:rPr>
              <w:t xml:space="preserve">The MSG could consider </w:t>
            </w:r>
            <w:r w:rsidR="0073165D">
              <w:rPr>
                <w:rFonts w:ascii="Franklin Gothic Book" w:hAnsi="Franklin Gothic Book" w:cs="Calibri"/>
                <w:color w:val="00B0F0"/>
                <w:lang w:eastAsia="fr-FR" w:bidi="ar-SA"/>
              </w:rPr>
              <w:t xml:space="preserve">also </w:t>
            </w:r>
            <w:r w:rsidRPr="00883CCA">
              <w:rPr>
                <w:rFonts w:ascii="Franklin Gothic Book" w:hAnsi="Franklin Gothic Book" w:cs="Calibri"/>
                <w:color w:val="00B0F0"/>
                <w:lang w:eastAsia="fr-FR" w:bidi="ar-SA"/>
              </w:rPr>
              <w:t>covering:</w:t>
            </w:r>
          </w:p>
          <w:p w14:paraId="07B3287D" w14:textId="6C356C49" w:rsidR="007C4885" w:rsidRPr="00625B47" w:rsidRDefault="30B1FB1B" w:rsidP="002729E9">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lang w:eastAsia="fr-FR" w:bidi="ar-SA"/>
              </w:rPr>
            </w:pPr>
            <w:r w:rsidRPr="68CBBC64">
              <w:rPr>
                <w:rFonts w:ascii="Franklin Gothic Book" w:hAnsi="Franklin Gothic Book" w:cs="Calibri"/>
                <w:color w:val="00B0F0"/>
                <w:lang w:eastAsia="fr-FR" w:bidi="ar-SA"/>
              </w:rPr>
              <w:t>New or renegotiated infrastructure agreements related to C</w:t>
            </w:r>
            <w:r w:rsidR="71C54C2F" w:rsidRPr="68CBBC64">
              <w:rPr>
                <w:rFonts w:ascii="Franklin Gothic Book" w:hAnsi="Franklin Gothic Book" w:cs="Calibri"/>
                <w:color w:val="00B0F0"/>
                <w:lang w:eastAsia="fr-FR" w:bidi="ar-SA"/>
              </w:rPr>
              <w:t>ovid</w:t>
            </w:r>
            <w:r w:rsidRPr="68CBBC64">
              <w:rPr>
                <w:rFonts w:ascii="Franklin Gothic Book" w:hAnsi="Franklin Gothic Book" w:cs="Calibri"/>
                <w:color w:val="00B0F0"/>
                <w:lang w:eastAsia="fr-FR" w:bidi="ar-SA"/>
              </w:rPr>
              <w:t xml:space="preserve">-19 relief operations </w:t>
            </w:r>
          </w:p>
          <w:p w14:paraId="19A2F472" w14:textId="50496905" w:rsidR="007C4885" w:rsidRPr="007C4885" w:rsidRDefault="00AB72C0" w:rsidP="007C4885">
            <w:pPr>
              <w:pStyle w:val="ListParagraph"/>
              <w:numPr>
                <w:ilvl w:val="0"/>
                <w:numId w:val="34"/>
              </w:numPr>
              <w:tabs>
                <w:tab w:val="left" w:pos="426"/>
                <w:tab w:val="left" w:pos="709"/>
              </w:tabs>
              <w:spacing w:before="120" w:after="120" w:line="240" w:lineRule="exact"/>
              <w:ind w:left="397" w:hanging="113"/>
              <w:jc w:val="left"/>
              <w:rPr>
                <w:color w:val="00B0F0"/>
              </w:rPr>
            </w:pPr>
            <w:r w:rsidRPr="00883CCA">
              <w:rPr>
                <w:rFonts w:ascii="Franklin Gothic Book" w:hAnsi="Franklin Gothic Book" w:cs="Calibri"/>
                <w:color w:val="00B0F0"/>
                <w:lang w:eastAsia="fr-FR" w:bidi="ar-SA"/>
              </w:rPr>
              <w:t>New or renegotiated resource-backed loans</w:t>
            </w:r>
          </w:p>
        </w:tc>
      </w:tr>
      <w:tr w:rsidR="00871094" w:rsidRPr="00233966" w14:paraId="5959AA4D" w14:textId="77777777" w:rsidTr="68CBBC64">
        <w:tc>
          <w:tcPr>
            <w:tcW w:w="2977" w:type="dxa"/>
            <w:shd w:val="clear" w:color="auto" w:fill="auto"/>
          </w:tcPr>
          <w:p w14:paraId="627627EC" w14:textId="03584B6E" w:rsidR="008306FF" w:rsidRPr="004302B0" w:rsidRDefault="008306FF" w:rsidP="008306FF">
            <w:pPr>
              <w:tabs>
                <w:tab w:val="left" w:pos="426"/>
                <w:tab w:val="left" w:pos="709"/>
              </w:tabs>
              <w:spacing w:before="120" w:after="120" w:line="240" w:lineRule="exact"/>
              <w:jc w:val="left"/>
              <w:rPr>
                <w:rFonts w:ascii="Franklin Gothic Book" w:hAnsi="Franklin Gothic Book" w:cs="Calibri"/>
                <w:color w:val="000000" w:themeColor="text1"/>
                <w:lang w:eastAsia="fr-FR" w:bidi="ar-SA"/>
              </w:rPr>
            </w:pPr>
            <w:r>
              <w:rPr>
                <w:rFonts w:ascii="Franklin Gothic Book" w:hAnsi="Franklin Gothic Book" w:cs="Calibri"/>
                <w:color w:val="000000" w:themeColor="text1"/>
                <w:lang w:eastAsia="fr-FR" w:bidi="ar-SA"/>
              </w:rPr>
              <w:t xml:space="preserve">Information about </w:t>
            </w:r>
            <w:r w:rsidRPr="004302B0">
              <w:rPr>
                <w:rFonts w:ascii="Franklin Gothic Book" w:hAnsi="Franklin Gothic Book" w:cs="Calibri"/>
                <w:color w:val="000000" w:themeColor="text1"/>
                <w:lang w:eastAsia="fr-FR" w:bidi="ar-SA"/>
              </w:rPr>
              <w:t xml:space="preserve"> transportation revenues in accordance with Requirement 4.4.</w:t>
            </w:r>
          </w:p>
          <w:p w14:paraId="5F38B0CC" w14:textId="512DBB45" w:rsidR="00871094" w:rsidRPr="00FD1ABC" w:rsidRDefault="00871094" w:rsidP="00B42278">
            <w:pPr>
              <w:tabs>
                <w:tab w:val="left" w:pos="426"/>
                <w:tab w:val="left" w:pos="709"/>
              </w:tabs>
              <w:spacing w:before="120" w:after="120" w:line="240" w:lineRule="exact"/>
              <w:jc w:val="left"/>
              <w:rPr>
                <w:rFonts w:ascii="Franklin Gothic Book" w:hAnsi="Franklin Gothic Book" w:cs="Calibri"/>
                <w:color w:val="000000" w:themeColor="text1"/>
                <w:lang w:eastAsia="fr-FR" w:bidi="ar-SA"/>
              </w:rPr>
            </w:pPr>
          </w:p>
        </w:tc>
        <w:tc>
          <w:tcPr>
            <w:tcW w:w="5699" w:type="dxa"/>
          </w:tcPr>
          <w:p w14:paraId="35176429" w14:textId="43FFD9BE" w:rsidR="0073751E" w:rsidRPr="00F43542" w:rsidRDefault="0073751E" w:rsidP="0073751E">
            <w:pPr>
              <w:tabs>
                <w:tab w:val="left" w:pos="426"/>
                <w:tab w:val="left" w:pos="709"/>
              </w:tabs>
              <w:spacing w:before="120" w:after="120" w:line="240" w:lineRule="exact"/>
              <w:jc w:val="left"/>
              <w:rPr>
                <w:rFonts w:ascii="Franklin Gothic Book" w:hAnsi="Franklin Gothic Book" w:cs="Calibri"/>
                <w:color w:val="00B0F0"/>
                <w:lang w:eastAsia="fr-FR" w:bidi="ar-SA"/>
              </w:rPr>
            </w:pPr>
            <w:r w:rsidRPr="00F43542">
              <w:rPr>
                <w:rFonts w:ascii="Franklin Gothic Book" w:hAnsi="Franklin Gothic Book" w:cs="Calibri"/>
                <w:color w:val="00B0F0"/>
                <w:lang w:eastAsia="fr-FR" w:bidi="ar-SA"/>
              </w:rPr>
              <w:t xml:space="preserve">The MSG could consider </w:t>
            </w:r>
            <w:r w:rsidR="0073165D">
              <w:rPr>
                <w:rFonts w:ascii="Franklin Gothic Book" w:hAnsi="Franklin Gothic Book" w:cs="Calibri"/>
                <w:color w:val="00B0F0"/>
                <w:lang w:eastAsia="fr-FR" w:bidi="ar-SA"/>
              </w:rPr>
              <w:t xml:space="preserve">also </w:t>
            </w:r>
            <w:r w:rsidRPr="00F43542">
              <w:rPr>
                <w:rFonts w:ascii="Franklin Gothic Book" w:hAnsi="Franklin Gothic Book" w:cs="Calibri"/>
                <w:color w:val="00B0F0"/>
                <w:lang w:eastAsia="fr-FR" w:bidi="ar-SA"/>
              </w:rPr>
              <w:t>covering:</w:t>
            </w:r>
          </w:p>
          <w:p w14:paraId="5D6A3C54" w14:textId="32329ACC" w:rsidR="0073751E" w:rsidRPr="00F43542" w:rsidRDefault="5BDA327A" w:rsidP="0073751E">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olor w:val="00B0F0"/>
              </w:rPr>
            </w:pPr>
            <w:r w:rsidRPr="68CBBC64">
              <w:rPr>
                <w:rFonts w:ascii="Franklin Gothic Book" w:hAnsi="Franklin Gothic Book"/>
                <w:color w:val="00B0F0"/>
              </w:rPr>
              <w:t>Changes to extractive commodities transportation arrangements in light of the C</w:t>
            </w:r>
            <w:r w:rsidR="319C8AFE" w:rsidRPr="68CBBC64">
              <w:rPr>
                <w:rFonts w:ascii="Franklin Gothic Book" w:hAnsi="Franklin Gothic Book"/>
                <w:color w:val="00B0F0"/>
              </w:rPr>
              <w:t>ovid</w:t>
            </w:r>
            <w:r w:rsidRPr="68CBBC64">
              <w:rPr>
                <w:rFonts w:ascii="Franklin Gothic Book" w:hAnsi="Franklin Gothic Book"/>
                <w:color w:val="00B0F0"/>
              </w:rPr>
              <w:t>-19 crisis</w:t>
            </w:r>
            <w:r w:rsidR="00F537EE">
              <w:rPr>
                <w:rFonts w:ascii="Franklin Gothic Book" w:hAnsi="Franklin Gothic Book"/>
                <w:color w:val="00B0F0"/>
              </w:rPr>
              <w:t xml:space="preserve"> and energy transition.</w:t>
            </w:r>
          </w:p>
          <w:p w14:paraId="1CE35C53" w14:textId="0EDA9273" w:rsidR="00871094" w:rsidRPr="00883CCA" w:rsidRDefault="5BDA327A" w:rsidP="00F43542">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lang w:eastAsia="fr-FR" w:bidi="ar-SA"/>
              </w:rPr>
            </w:pPr>
            <w:r w:rsidRPr="68CBBC64">
              <w:rPr>
                <w:rFonts w:ascii="Franklin Gothic Book" w:hAnsi="Franklin Gothic Book"/>
                <w:color w:val="00B0F0"/>
              </w:rPr>
              <w:t>Outlook for transportation arrangements</w:t>
            </w:r>
            <w:r w:rsidR="263DAA59" w:rsidRPr="68CBBC64">
              <w:rPr>
                <w:rFonts w:ascii="Franklin Gothic Book" w:hAnsi="Franklin Gothic Book"/>
                <w:color w:val="00B0F0"/>
              </w:rPr>
              <w:t>,</w:t>
            </w:r>
            <w:r w:rsidRPr="68CBBC64">
              <w:rPr>
                <w:rFonts w:ascii="Franklin Gothic Book" w:hAnsi="Franklin Gothic Book"/>
                <w:color w:val="00B0F0"/>
              </w:rPr>
              <w:t xml:space="preserve"> revenues</w:t>
            </w:r>
            <w:r w:rsidR="263DAA59" w:rsidRPr="68CBBC64">
              <w:rPr>
                <w:rFonts w:ascii="Franklin Gothic Book" w:hAnsi="Franklin Gothic Book"/>
                <w:color w:val="00B0F0"/>
              </w:rPr>
              <w:t xml:space="preserve"> and any relevant extractive industries supply chain disruptions</w:t>
            </w:r>
            <w:r w:rsidRPr="68CBBC64">
              <w:rPr>
                <w:rFonts w:ascii="Franklin Gothic Book" w:hAnsi="Franklin Gothic Book"/>
                <w:color w:val="00B0F0"/>
              </w:rPr>
              <w:t xml:space="preserve"> in light of C</w:t>
            </w:r>
            <w:r w:rsidR="3D218D30" w:rsidRPr="68CBBC64">
              <w:rPr>
                <w:rFonts w:ascii="Franklin Gothic Book" w:hAnsi="Franklin Gothic Book"/>
                <w:color w:val="00B0F0"/>
              </w:rPr>
              <w:t>ovid</w:t>
            </w:r>
            <w:r w:rsidRPr="68CBBC64">
              <w:rPr>
                <w:rFonts w:ascii="Franklin Gothic Book" w:hAnsi="Franklin Gothic Book"/>
                <w:color w:val="00B0F0"/>
              </w:rPr>
              <w:t>-19 related movement restrictions</w:t>
            </w:r>
            <w:r w:rsidR="00F537EE">
              <w:rPr>
                <w:rFonts w:ascii="Franklin Gothic Book" w:hAnsi="Franklin Gothic Book"/>
                <w:color w:val="00B0F0"/>
              </w:rPr>
              <w:t xml:space="preserve"> or the energy transition</w:t>
            </w:r>
            <w:r w:rsidRPr="68CBBC64">
              <w:rPr>
                <w:rFonts w:ascii="Franklin Gothic Book" w:hAnsi="Franklin Gothic Book"/>
                <w:color w:val="00B0F0"/>
              </w:rPr>
              <w:t xml:space="preserve">. </w:t>
            </w:r>
          </w:p>
        </w:tc>
      </w:tr>
      <w:tr w:rsidR="00871094" w:rsidRPr="00233966" w14:paraId="10F559EF" w14:textId="77777777" w:rsidTr="68CBBC64">
        <w:tc>
          <w:tcPr>
            <w:tcW w:w="2977" w:type="dxa"/>
            <w:shd w:val="clear" w:color="auto" w:fill="auto"/>
          </w:tcPr>
          <w:p w14:paraId="5FE7371E" w14:textId="621E23A1" w:rsidR="00871094" w:rsidRPr="00FD1ABC" w:rsidRDefault="008306FF" w:rsidP="008306FF">
            <w:pPr>
              <w:tabs>
                <w:tab w:val="left" w:pos="426"/>
                <w:tab w:val="left" w:pos="709"/>
              </w:tabs>
              <w:spacing w:before="120" w:after="120" w:line="240" w:lineRule="exact"/>
              <w:jc w:val="left"/>
              <w:rPr>
                <w:rFonts w:ascii="Franklin Gothic Book" w:hAnsi="Franklin Gothic Book" w:cs="Calibri"/>
                <w:color w:val="000000" w:themeColor="text1"/>
                <w:lang w:eastAsia="fr-FR" w:bidi="ar-SA"/>
              </w:rPr>
            </w:pPr>
            <w:r>
              <w:rPr>
                <w:rFonts w:ascii="Franklin Gothic Book" w:hAnsi="Franklin Gothic Book" w:cs="Calibri"/>
                <w:color w:val="000000" w:themeColor="text1"/>
                <w:lang w:eastAsia="fr-FR" w:bidi="ar-SA"/>
              </w:rPr>
              <w:t xml:space="preserve">Information about </w:t>
            </w:r>
            <w:r w:rsidRPr="004302B0">
              <w:rPr>
                <w:rFonts w:ascii="Franklin Gothic Book" w:hAnsi="Franklin Gothic Book" w:cs="Calibri"/>
                <w:color w:val="000000" w:themeColor="text1"/>
                <w:lang w:eastAsia="fr-FR" w:bidi="ar-SA"/>
              </w:rPr>
              <w:t>direct sub-national payments in accordance with Requirement 4.6.</w:t>
            </w:r>
          </w:p>
        </w:tc>
        <w:tc>
          <w:tcPr>
            <w:tcW w:w="5699" w:type="dxa"/>
          </w:tcPr>
          <w:p w14:paraId="15454275" w14:textId="4951380C" w:rsidR="00AB72C0" w:rsidRPr="00883CCA" w:rsidRDefault="00AB72C0" w:rsidP="00AB72C0">
            <w:pPr>
              <w:tabs>
                <w:tab w:val="left" w:pos="426"/>
                <w:tab w:val="left" w:pos="709"/>
              </w:tabs>
              <w:spacing w:before="120" w:after="120" w:line="240" w:lineRule="exact"/>
              <w:jc w:val="left"/>
              <w:rPr>
                <w:rFonts w:ascii="Franklin Gothic Book" w:hAnsi="Franklin Gothic Book" w:cs="Calibri"/>
                <w:color w:val="00B0F0"/>
                <w:lang w:eastAsia="fr-FR" w:bidi="ar-SA"/>
              </w:rPr>
            </w:pPr>
            <w:r w:rsidRPr="00883CCA">
              <w:rPr>
                <w:rFonts w:ascii="Franklin Gothic Book" w:hAnsi="Franklin Gothic Book" w:cs="Calibri"/>
                <w:color w:val="00B0F0"/>
                <w:lang w:eastAsia="fr-FR" w:bidi="ar-SA"/>
              </w:rPr>
              <w:t xml:space="preserve">The MSG could consider </w:t>
            </w:r>
            <w:r w:rsidR="0073165D">
              <w:rPr>
                <w:rFonts w:ascii="Franklin Gothic Book" w:hAnsi="Franklin Gothic Book" w:cs="Calibri"/>
                <w:color w:val="00B0F0"/>
                <w:lang w:eastAsia="fr-FR" w:bidi="ar-SA"/>
              </w:rPr>
              <w:t xml:space="preserve">also </w:t>
            </w:r>
            <w:r w:rsidRPr="00883CCA">
              <w:rPr>
                <w:rFonts w:ascii="Franklin Gothic Book" w:hAnsi="Franklin Gothic Book" w:cs="Calibri"/>
                <w:color w:val="00B0F0"/>
                <w:lang w:eastAsia="fr-FR" w:bidi="ar-SA"/>
              </w:rPr>
              <w:t>covering:</w:t>
            </w:r>
          </w:p>
          <w:p w14:paraId="443A705C" w14:textId="48369560" w:rsidR="00871094" w:rsidRPr="00883CCA" w:rsidRDefault="00AB72C0" w:rsidP="002729E9">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lang w:eastAsia="fr-FR" w:bidi="ar-SA"/>
              </w:rPr>
            </w:pPr>
            <w:r w:rsidRPr="00883CCA">
              <w:rPr>
                <w:rFonts w:ascii="Franklin Gothic Book" w:hAnsi="Franklin Gothic Book" w:cs="Calibri"/>
                <w:color w:val="00B0F0"/>
                <w:lang w:eastAsia="fr-FR" w:bidi="ar-SA"/>
              </w:rPr>
              <w:t xml:space="preserve">Projected subnational direct payments and possible implications for </w:t>
            </w:r>
            <w:r w:rsidR="002729E9" w:rsidRPr="00883CCA">
              <w:rPr>
                <w:rFonts w:ascii="Franklin Gothic Book" w:hAnsi="Franklin Gothic Book" w:cs="Calibri"/>
                <w:color w:val="00B0F0"/>
                <w:lang w:eastAsia="fr-FR" w:bidi="ar-SA"/>
              </w:rPr>
              <w:t>local government budgets</w:t>
            </w:r>
            <w:r w:rsidR="00F537EE">
              <w:rPr>
                <w:rFonts w:ascii="Franklin Gothic Book" w:hAnsi="Franklin Gothic Book" w:cs="Calibri"/>
                <w:color w:val="00B0F0"/>
                <w:lang w:eastAsia="fr-FR" w:bidi="ar-SA"/>
              </w:rPr>
              <w:t xml:space="preserve"> in light of the Covid-19 crisis and the possible impacts of the energy transition.</w:t>
            </w:r>
          </w:p>
        </w:tc>
      </w:tr>
      <w:tr w:rsidR="00871094" w:rsidRPr="00233966" w14:paraId="1774678A" w14:textId="77777777" w:rsidTr="68CBBC64">
        <w:tc>
          <w:tcPr>
            <w:tcW w:w="2977" w:type="dxa"/>
            <w:shd w:val="clear" w:color="auto" w:fill="auto"/>
          </w:tcPr>
          <w:p w14:paraId="4CE81D3D" w14:textId="77777777" w:rsidR="00871094" w:rsidRPr="00FD1ABC" w:rsidRDefault="00871094" w:rsidP="00B42278">
            <w:pPr>
              <w:tabs>
                <w:tab w:val="left" w:pos="426"/>
                <w:tab w:val="left" w:pos="709"/>
              </w:tabs>
              <w:spacing w:before="120" w:after="120" w:line="240" w:lineRule="exact"/>
              <w:jc w:val="left"/>
              <w:rPr>
                <w:rFonts w:ascii="Franklin Gothic Book" w:hAnsi="Franklin Gothic Book" w:cs="Calibri"/>
                <w:color w:val="000000" w:themeColor="text1"/>
                <w:lang w:eastAsia="fr-FR" w:bidi="ar-SA"/>
              </w:rPr>
            </w:pPr>
            <w:r w:rsidRPr="00FD1ABC">
              <w:rPr>
                <w:rFonts w:ascii="Franklin Gothic Book" w:hAnsi="Franklin Gothic Book" w:cs="Calibri"/>
                <w:color w:val="000000" w:themeColor="text1"/>
                <w:lang w:eastAsia="fr-FR" w:bidi="ar-SA"/>
              </w:rPr>
              <w:t>Information about the distribution of revenues from the extractive industries in accordance with EITI Requirement 5.1.</w:t>
            </w:r>
          </w:p>
        </w:tc>
        <w:tc>
          <w:tcPr>
            <w:tcW w:w="5699" w:type="dxa"/>
          </w:tcPr>
          <w:p w14:paraId="782EDFDE" w14:textId="4BDFFF06" w:rsidR="004C0AC3" w:rsidRPr="00883CCA" w:rsidRDefault="004C0AC3" w:rsidP="004C0AC3">
            <w:pPr>
              <w:tabs>
                <w:tab w:val="left" w:pos="426"/>
                <w:tab w:val="left" w:pos="709"/>
              </w:tabs>
              <w:spacing w:before="120" w:after="120" w:line="240" w:lineRule="exact"/>
              <w:jc w:val="left"/>
              <w:rPr>
                <w:rFonts w:ascii="Franklin Gothic Book" w:hAnsi="Franklin Gothic Book" w:cs="Calibri"/>
                <w:color w:val="00B0F0"/>
                <w:lang w:eastAsia="fr-FR" w:bidi="ar-SA"/>
              </w:rPr>
            </w:pPr>
            <w:r w:rsidRPr="00883CCA">
              <w:rPr>
                <w:rFonts w:ascii="Franklin Gothic Book" w:hAnsi="Franklin Gothic Book" w:cs="Calibri"/>
                <w:color w:val="00B0F0"/>
                <w:lang w:eastAsia="fr-FR" w:bidi="ar-SA"/>
              </w:rPr>
              <w:t xml:space="preserve">The MSG could consider </w:t>
            </w:r>
            <w:r w:rsidR="0073165D">
              <w:rPr>
                <w:rFonts w:ascii="Franklin Gothic Book" w:hAnsi="Franklin Gothic Book" w:cs="Calibri"/>
                <w:color w:val="00B0F0"/>
                <w:lang w:eastAsia="fr-FR" w:bidi="ar-SA"/>
              </w:rPr>
              <w:t xml:space="preserve">also </w:t>
            </w:r>
            <w:r w:rsidRPr="00883CCA">
              <w:rPr>
                <w:rFonts w:ascii="Franklin Gothic Book" w:hAnsi="Franklin Gothic Book" w:cs="Calibri"/>
                <w:color w:val="00B0F0"/>
                <w:lang w:eastAsia="fr-FR" w:bidi="ar-SA"/>
              </w:rPr>
              <w:t>covering:</w:t>
            </w:r>
          </w:p>
          <w:p w14:paraId="5F4DD307" w14:textId="5141E7E0" w:rsidR="00871094" w:rsidRDefault="3F73423A" w:rsidP="00643C03">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lang w:eastAsia="fr-FR" w:bidi="ar-SA"/>
              </w:rPr>
            </w:pPr>
            <w:r w:rsidRPr="68CBBC64">
              <w:rPr>
                <w:rFonts w:ascii="Franklin Gothic Book" w:hAnsi="Franklin Gothic Book" w:cs="Calibri"/>
                <w:color w:val="00B0F0"/>
                <w:lang w:eastAsia="fr-FR" w:bidi="ar-SA"/>
              </w:rPr>
              <w:t xml:space="preserve">Budget re-alignments </w:t>
            </w:r>
            <w:r w:rsidR="355818D4" w:rsidRPr="68CBBC64">
              <w:rPr>
                <w:rFonts w:ascii="Franklin Gothic Book" w:hAnsi="Franklin Gothic Book" w:cs="Calibri"/>
                <w:color w:val="00B0F0"/>
                <w:lang w:eastAsia="fr-FR" w:bidi="ar-SA"/>
              </w:rPr>
              <w:t xml:space="preserve">for </w:t>
            </w:r>
            <w:r w:rsidR="004C0AC3" w:rsidRPr="68CBBC64">
              <w:rPr>
                <w:rFonts w:ascii="Franklin Gothic Book" w:hAnsi="Franklin Gothic Book" w:cs="Calibri"/>
                <w:color w:val="00B0F0"/>
                <w:lang w:eastAsia="fr-FR" w:bidi="ar-SA"/>
              </w:rPr>
              <w:t xml:space="preserve">extractive industry </w:t>
            </w:r>
            <w:r w:rsidR="355818D4" w:rsidRPr="68CBBC64">
              <w:rPr>
                <w:rFonts w:ascii="Franklin Gothic Book" w:hAnsi="Franklin Gothic Book" w:cs="Calibri"/>
                <w:color w:val="00B0F0"/>
                <w:lang w:eastAsia="fr-FR" w:bidi="ar-SA"/>
              </w:rPr>
              <w:t>revenues</w:t>
            </w:r>
            <w:r w:rsidRPr="68CBBC64">
              <w:rPr>
                <w:rFonts w:ascii="Franklin Gothic Book" w:hAnsi="Franklin Gothic Book" w:cs="Calibri"/>
                <w:color w:val="00B0F0"/>
                <w:lang w:eastAsia="fr-FR" w:bidi="ar-SA"/>
              </w:rPr>
              <w:t xml:space="preserve"> earmarked for C</w:t>
            </w:r>
            <w:r w:rsidR="317DFA63" w:rsidRPr="68CBBC64">
              <w:rPr>
                <w:rFonts w:ascii="Franklin Gothic Book" w:hAnsi="Franklin Gothic Book" w:cs="Calibri"/>
                <w:color w:val="00B0F0"/>
                <w:lang w:eastAsia="fr-FR" w:bidi="ar-SA"/>
              </w:rPr>
              <w:t>ovid</w:t>
            </w:r>
            <w:r w:rsidRPr="68CBBC64">
              <w:rPr>
                <w:rFonts w:ascii="Franklin Gothic Book" w:hAnsi="Franklin Gothic Book" w:cs="Calibri"/>
                <w:color w:val="00B0F0"/>
                <w:lang w:eastAsia="fr-FR" w:bidi="ar-SA"/>
              </w:rPr>
              <w:t>-19 relief</w:t>
            </w:r>
            <w:r w:rsidR="00B60C55">
              <w:rPr>
                <w:rFonts w:ascii="Franklin Gothic Book" w:hAnsi="Franklin Gothic Book" w:cs="Calibri"/>
                <w:color w:val="00B0F0"/>
                <w:lang w:eastAsia="fr-FR" w:bidi="ar-SA"/>
              </w:rPr>
              <w:t>.</w:t>
            </w:r>
            <w:r w:rsidRPr="68CBBC64">
              <w:rPr>
                <w:rFonts w:ascii="Franklin Gothic Book" w:hAnsi="Franklin Gothic Book" w:cs="Calibri"/>
                <w:color w:val="00B0F0"/>
                <w:lang w:eastAsia="fr-FR" w:bidi="ar-SA"/>
              </w:rPr>
              <w:t xml:space="preserve"> </w:t>
            </w:r>
          </w:p>
          <w:p w14:paraId="7FB680B4" w14:textId="1A47D84E" w:rsidR="002451D6" w:rsidRPr="00883CCA" w:rsidRDefault="002451D6" w:rsidP="00643C03">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lang w:eastAsia="fr-FR" w:bidi="ar-SA"/>
              </w:rPr>
            </w:pPr>
            <w:r>
              <w:rPr>
                <w:rFonts w:ascii="Franklin Gothic Book" w:hAnsi="Franklin Gothic Book" w:cs="Calibri"/>
                <w:color w:val="00B0F0"/>
                <w:lang w:eastAsia="fr-FR" w:bidi="ar-SA"/>
              </w:rPr>
              <w:t>Additional information on the debt sustainability of the government and public sector (including SOEs) in light of the Covid-19 crisis</w:t>
            </w:r>
            <w:r w:rsidR="00B60C55">
              <w:rPr>
                <w:rFonts w:ascii="Franklin Gothic Book" w:hAnsi="Franklin Gothic Book" w:cs="Calibri"/>
                <w:color w:val="00B0F0"/>
                <w:lang w:eastAsia="fr-FR" w:bidi="ar-SA"/>
              </w:rPr>
              <w:t xml:space="preserve"> and possible impacts of the energy transition.</w:t>
            </w:r>
          </w:p>
        </w:tc>
      </w:tr>
      <w:tr w:rsidR="008306FF" w:rsidRPr="00233966" w14:paraId="27F1B007" w14:textId="77777777" w:rsidTr="68CBBC64">
        <w:tc>
          <w:tcPr>
            <w:tcW w:w="2977" w:type="dxa"/>
            <w:shd w:val="clear" w:color="auto" w:fill="auto"/>
          </w:tcPr>
          <w:p w14:paraId="4B5CBAF1" w14:textId="7D4BBC56" w:rsidR="008306FF" w:rsidRPr="00FD1ABC" w:rsidRDefault="008306FF" w:rsidP="00B42278">
            <w:pPr>
              <w:tabs>
                <w:tab w:val="left" w:pos="426"/>
                <w:tab w:val="left" w:pos="709"/>
              </w:tabs>
              <w:spacing w:before="120" w:after="120" w:line="240" w:lineRule="exact"/>
              <w:jc w:val="left"/>
              <w:rPr>
                <w:rFonts w:ascii="Franklin Gothic Book" w:hAnsi="Franklin Gothic Book" w:cs="Calibri"/>
                <w:color w:val="000000" w:themeColor="text1"/>
                <w:lang w:eastAsia="fr-FR" w:bidi="ar-SA"/>
              </w:rPr>
            </w:pPr>
            <w:r>
              <w:rPr>
                <w:rFonts w:ascii="Franklin Gothic Book" w:hAnsi="Franklin Gothic Book" w:cs="Calibri"/>
                <w:color w:val="000000" w:themeColor="text1"/>
                <w:lang w:eastAsia="fr-FR" w:bidi="ar-SA"/>
              </w:rPr>
              <w:t xml:space="preserve">Information about </w:t>
            </w:r>
            <w:r w:rsidRPr="004302B0">
              <w:rPr>
                <w:rFonts w:ascii="Franklin Gothic Book" w:hAnsi="Franklin Gothic Book" w:cs="Calibri"/>
                <w:color w:val="000000" w:themeColor="text1"/>
                <w:lang w:eastAsia="fr-FR" w:bidi="ar-SA"/>
              </w:rPr>
              <w:t>sub-national transfers in accordance with Requirement 5.2.</w:t>
            </w:r>
          </w:p>
        </w:tc>
        <w:tc>
          <w:tcPr>
            <w:tcW w:w="5699" w:type="dxa"/>
          </w:tcPr>
          <w:p w14:paraId="6DF2E75C" w14:textId="6B475AC6" w:rsidR="002729E9" w:rsidRPr="00883CCA" w:rsidRDefault="002729E9" w:rsidP="002729E9">
            <w:pPr>
              <w:tabs>
                <w:tab w:val="left" w:pos="426"/>
                <w:tab w:val="left" w:pos="709"/>
              </w:tabs>
              <w:spacing w:before="120" w:after="120" w:line="240" w:lineRule="exact"/>
              <w:jc w:val="left"/>
              <w:rPr>
                <w:rFonts w:ascii="Franklin Gothic Book" w:hAnsi="Franklin Gothic Book" w:cs="Calibri"/>
                <w:color w:val="00B0F0"/>
                <w:lang w:eastAsia="fr-FR" w:bidi="ar-SA"/>
              </w:rPr>
            </w:pPr>
            <w:r w:rsidRPr="00883CCA">
              <w:rPr>
                <w:rFonts w:ascii="Franklin Gothic Book" w:hAnsi="Franklin Gothic Book" w:cs="Calibri"/>
                <w:color w:val="00B0F0"/>
                <w:lang w:eastAsia="fr-FR" w:bidi="ar-SA"/>
              </w:rPr>
              <w:t xml:space="preserve">The MSG could consider </w:t>
            </w:r>
            <w:r w:rsidR="0073165D">
              <w:rPr>
                <w:rFonts w:ascii="Franklin Gothic Book" w:hAnsi="Franklin Gothic Book" w:cs="Calibri"/>
                <w:color w:val="00B0F0"/>
                <w:lang w:eastAsia="fr-FR" w:bidi="ar-SA"/>
              </w:rPr>
              <w:t xml:space="preserve">also </w:t>
            </w:r>
            <w:r w:rsidRPr="00883CCA">
              <w:rPr>
                <w:rFonts w:ascii="Franklin Gothic Book" w:hAnsi="Franklin Gothic Book" w:cs="Calibri"/>
                <w:color w:val="00B0F0"/>
                <w:lang w:eastAsia="fr-FR" w:bidi="ar-SA"/>
              </w:rPr>
              <w:t>covering:</w:t>
            </w:r>
          </w:p>
          <w:p w14:paraId="68FEF5AB" w14:textId="710D5E16" w:rsidR="00DB660F" w:rsidRDefault="002729E9" w:rsidP="002729E9">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lang w:eastAsia="fr-FR" w:bidi="ar-SA"/>
              </w:rPr>
            </w:pPr>
            <w:r w:rsidRPr="00883CCA">
              <w:rPr>
                <w:rFonts w:ascii="Franklin Gothic Book" w:hAnsi="Franklin Gothic Book" w:cs="Calibri"/>
                <w:color w:val="00B0F0"/>
                <w:lang w:eastAsia="fr-FR" w:bidi="ar-SA"/>
              </w:rPr>
              <w:t xml:space="preserve">Projected subnational </w:t>
            </w:r>
            <w:r w:rsidR="005D53B8">
              <w:rPr>
                <w:rFonts w:ascii="Franklin Gothic Book" w:hAnsi="Franklin Gothic Book" w:cs="Calibri"/>
                <w:color w:val="00B0F0"/>
                <w:lang w:eastAsia="fr-FR" w:bidi="ar-SA"/>
              </w:rPr>
              <w:t>transfers</w:t>
            </w:r>
            <w:r w:rsidR="00B60C55">
              <w:rPr>
                <w:rFonts w:ascii="Franklin Gothic Book" w:hAnsi="Franklin Gothic Book" w:cs="Calibri"/>
                <w:color w:val="00B0F0"/>
                <w:lang w:eastAsia="fr-FR" w:bidi="ar-SA"/>
              </w:rPr>
              <w:t>.</w:t>
            </w:r>
          </w:p>
          <w:p w14:paraId="4154F5BE" w14:textId="28DF6682" w:rsidR="008306FF" w:rsidRDefault="00DB660F" w:rsidP="002729E9">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lang w:eastAsia="fr-FR" w:bidi="ar-SA"/>
              </w:rPr>
            </w:pPr>
            <w:r>
              <w:rPr>
                <w:rFonts w:ascii="Franklin Gothic Book" w:hAnsi="Franklin Gothic Book" w:cs="Calibri"/>
                <w:color w:val="00B0F0"/>
                <w:lang w:eastAsia="fr-FR" w:bidi="ar-SA"/>
              </w:rPr>
              <w:t>P</w:t>
            </w:r>
            <w:r w:rsidR="002729E9" w:rsidRPr="00883CCA">
              <w:rPr>
                <w:rFonts w:ascii="Franklin Gothic Book" w:hAnsi="Franklin Gothic Book" w:cs="Calibri"/>
                <w:color w:val="00B0F0"/>
                <w:lang w:eastAsia="fr-FR" w:bidi="ar-SA"/>
              </w:rPr>
              <w:t xml:space="preserve">ossible implications </w:t>
            </w:r>
            <w:r>
              <w:rPr>
                <w:rFonts w:ascii="Franklin Gothic Book" w:hAnsi="Franklin Gothic Book" w:cs="Calibri"/>
                <w:color w:val="00B0F0"/>
                <w:lang w:eastAsia="fr-FR" w:bidi="ar-SA"/>
              </w:rPr>
              <w:t xml:space="preserve">of the energy transition </w:t>
            </w:r>
            <w:r w:rsidR="002729E9" w:rsidRPr="00883CCA">
              <w:rPr>
                <w:rFonts w:ascii="Franklin Gothic Book" w:hAnsi="Franklin Gothic Book" w:cs="Calibri"/>
                <w:color w:val="00B0F0"/>
                <w:lang w:eastAsia="fr-FR" w:bidi="ar-SA"/>
              </w:rPr>
              <w:t>for local government budgets and local communities</w:t>
            </w:r>
          </w:p>
          <w:p w14:paraId="3F7C8B1D" w14:textId="5207AEF6" w:rsidR="005D53B8" w:rsidRPr="00883CCA" w:rsidRDefault="13D2CD81" w:rsidP="002729E9">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lang w:eastAsia="fr-FR" w:bidi="ar-SA"/>
              </w:rPr>
            </w:pPr>
            <w:r w:rsidRPr="68CBBC64">
              <w:rPr>
                <w:rFonts w:ascii="Franklin Gothic Book" w:hAnsi="Franklin Gothic Book" w:cs="Calibri"/>
                <w:color w:val="00B0F0"/>
                <w:lang w:eastAsia="fr-FR" w:bidi="ar-SA"/>
              </w:rPr>
              <w:t>The management of subnational transfers by local governments and any changes in response to the C</w:t>
            </w:r>
            <w:r w:rsidR="3C0012AF" w:rsidRPr="68CBBC64">
              <w:rPr>
                <w:rFonts w:ascii="Franklin Gothic Book" w:hAnsi="Franklin Gothic Book" w:cs="Calibri"/>
                <w:color w:val="00B0F0"/>
                <w:lang w:eastAsia="fr-FR" w:bidi="ar-SA"/>
              </w:rPr>
              <w:t>ovid</w:t>
            </w:r>
            <w:r w:rsidRPr="68CBBC64">
              <w:rPr>
                <w:rFonts w:ascii="Franklin Gothic Book" w:hAnsi="Franklin Gothic Book" w:cs="Calibri"/>
                <w:color w:val="00B0F0"/>
                <w:lang w:eastAsia="fr-FR" w:bidi="ar-SA"/>
              </w:rPr>
              <w:t>-19 crisis</w:t>
            </w:r>
            <w:r w:rsidR="00B60C55">
              <w:rPr>
                <w:rFonts w:ascii="Franklin Gothic Book" w:hAnsi="Franklin Gothic Book" w:cs="Calibri"/>
                <w:color w:val="00B0F0"/>
                <w:lang w:eastAsia="fr-FR" w:bidi="ar-SA"/>
              </w:rPr>
              <w:t>.</w:t>
            </w:r>
          </w:p>
        </w:tc>
      </w:tr>
      <w:tr w:rsidR="00871094" w:rsidRPr="00233966" w14:paraId="646FAE7B" w14:textId="77777777" w:rsidTr="68CBBC64">
        <w:tc>
          <w:tcPr>
            <w:tcW w:w="2977" w:type="dxa"/>
            <w:shd w:val="clear" w:color="auto" w:fill="auto"/>
          </w:tcPr>
          <w:p w14:paraId="67B4CD35" w14:textId="77777777" w:rsidR="00871094" w:rsidRPr="00FD1ABC" w:rsidRDefault="00871094" w:rsidP="00B42278">
            <w:pPr>
              <w:tabs>
                <w:tab w:val="left" w:pos="426"/>
                <w:tab w:val="left" w:pos="709"/>
              </w:tabs>
              <w:spacing w:before="120" w:after="120" w:line="240" w:lineRule="exact"/>
              <w:jc w:val="left"/>
              <w:rPr>
                <w:rFonts w:ascii="Franklin Gothic Book" w:hAnsi="Franklin Gothic Book" w:cs="Calibri"/>
                <w:color w:val="000000" w:themeColor="text1"/>
                <w:lang w:eastAsia="fr-FR" w:bidi="ar-SA"/>
              </w:rPr>
            </w:pPr>
            <w:r w:rsidRPr="00FD1ABC">
              <w:rPr>
                <w:rFonts w:ascii="Franklin Gothic Book" w:hAnsi="Franklin Gothic Book" w:cs="Calibri"/>
                <w:color w:val="000000" w:themeColor="text1"/>
                <w:lang w:eastAsia="fr-FR" w:bidi="ar-SA"/>
              </w:rPr>
              <w:lastRenderedPageBreak/>
              <w:t>Any further information further information requested by the MSG on revenue management and expenditures in accordance with EITI Requirement 5.3.</w:t>
            </w:r>
          </w:p>
        </w:tc>
        <w:tc>
          <w:tcPr>
            <w:tcW w:w="5699" w:type="dxa"/>
          </w:tcPr>
          <w:p w14:paraId="5C0FC813" w14:textId="2B7256B7" w:rsidR="002729E9" w:rsidRPr="00883CCA" w:rsidRDefault="002729E9" w:rsidP="002729E9">
            <w:pPr>
              <w:tabs>
                <w:tab w:val="left" w:pos="426"/>
                <w:tab w:val="left" w:pos="709"/>
              </w:tabs>
              <w:spacing w:before="120" w:after="120" w:line="240" w:lineRule="exact"/>
              <w:jc w:val="left"/>
              <w:rPr>
                <w:rFonts w:ascii="Franklin Gothic Book" w:hAnsi="Franklin Gothic Book" w:cs="Calibri"/>
                <w:color w:val="00B0F0"/>
                <w:lang w:eastAsia="fr-FR" w:bidi="ar-SA"/>
              </w:rPr>
            </w:pPr>
            <w:r w:rsidRPr="00883CCA">
              <w:rPr>
                <w:rFonts w:ascii="Franklin Gothic Book" w:hAnsi="Franklin Gothic Book" w:cs="Calibri"/>
                <w:color w:val="00B0F0"/>
                <w:lang w:eastAsia="fr-FR" w:bidi="ar-SA"/>
              </w:rPr>
              <w:t xml:space="preserve">The MSG could consider </w:t>
            </w:r>
            <w:r w:rsidR="0073165D">
              <w:rPr>
                <w:rFonts w:ascii="Franklin Gothic Book" w:hAnsi="Franklin Gothic Book" w:cs="Calibri"/>
                <w:color w:val="00B0F0"/>
                <w:lang w:eastAsia="fr-FR" w:bidi="ar-SA"/>
              </w:rPr>
              <w:t xml:space="preserve">also </w:t>
            </w:r>
            <w:r w:rsidRPr="00883CCA">
              <w:rPr>
                <w:rFonts w:ascii="Franklin Gothic Book" w:hAnsi="Franklin Gothic Book" w:cs="Calibri"/>
                <w:color w:val="00B0F0"/>
                <w:lang w:eastAsia="fr-FR" w:bidi="ar-SA"/>
              </w:rPr>
              <w:t>covering:</w:t>
            </w:r>
          </w:p>
          <w:p w14:paraId="59AD4F63" w14:textId="71748EF6" w:rsidR="0095228B" w:rsidRDefault="0095228B" w:rsidP="0095228B">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lang w:eastAsia="fr-FR" w:bidi="ar-SA"/>
              </w:rPr>
            </w:pPr>
            <w:r>
              <w:rPr>
                <w:rFonts w:ascii="Franklin Gothic Book" w:hAnsi="Franklin Gothic Book" w:cs="Calibri"/>
                <w:color w:val="00B0F0"/>
                <w:lang w:eastAsia="fr-FR" w:bidi="ar-SA"/>
              </w:rPr>
              <w:t xml:space="preserve">National price and demand assumptions for oil, gas and minerals compared to </w:t>
            </w:r>
            <w:r w:rsidR="00915950">
              <w:rPr>
                <w:rFonts w:ascii="Franklin Gothic Book" w:hAnsi="Franklin Gothic Book" w:cs="Calibri"/>
                <w:color w:val="00B0F0"/>
                <w:lang w:eastAsia="fr-FR" w:bidi="ar-SA"/>
              </w:rPr>
              <w:t xml:space="preserve">forecasts by </w:t>
            </w:r>
            <w:r>
              <w:rPr>
                <w:rFonts w:ascii="Franklin Gothic Book" w:hAnsi="Franklin Gothic Book" w:cs="Calibri"/>
                <w:color w:val="00B0F0"/>
                <w:lang w:eastAsia="fr-FR" w:bidi="ar-SA"/>
              </w:rPr>
              <w:t xml:space="preserve">international </w:t>
            </w:r>
            <w:r w:rsidR="00915950">
              <w:rPr>
                <w:rFonts w:ascii="Franklin Gothic Book" w:hAnsi="Franklin Gothic Book" w:cs="Calibri"/>
                <w:color w:val="00B0F0"/>
                <w:lang w:eastAsia="fr-FR" w:bidi="ar-SA"/>
              </w:rPr>
              <w:t>organisations</w:t>
            </w:r>
            <w:r w:rsidR="00B46A73">
              <w:rPr>
                <w:rFonts w:ascii="Franklin Gothic Book" w:hAnsi="Franklin Gothic Book" w:cs="Calibri"/>
                <w:color w:val="00B0F0"/>
                <w:lang w:eastAsia="fr-FR" w:bidi="ar-SA"/>
              </w:rPr>
              <w:t xml:space="preserve"> and</w:t>
            </w:r>
            <w:r w:rsidR="00915950">
              <w:rPr>
                <w:rFonts w:ascii="Franklin Gothic Book" w:hAnsi="Franklin Gothic Book" w:cs="Calibri"/>
                <w:color w:val="00B0F0"/>
                <w:lang w:eastAsia="fr-FR" w:bidi="ar-SA"/>
              </w:rPr>
              <w:t xml:space="preserve"> </w:t>
            </w:r>
            <w:r w:rsidR="00B46A73">
              <w:rPr>
                <w:rFonts w:ascii="Franklin Gothic Book" w:hAnsi="Franklin Gothic Book" w:cs="Calibri"/>
                <w:color w:val="00B0F0"/>
                <w:lang w:eastAsia="fr-FR" w:bidi="ar-SA"/>
              </w:rPr>
              <w:t xml:space="preserve">companies </w:t>
            </w:r>
            <w:r w:rsidR="00B60C55">
              <w:rPr>
                <w:rFonts w:ascii="Franklin Gothic Book" w:hAnsi="Franklin Gothic Book" w:cs="Calibri"/>
                <w:color w:val="00B0F0"/>
                <w:lang w:eastAsia="fr-FR" w:bidi="ar-SA"/>
              </w:rPr>
              <w:t>.</w:t>
            </w:r>
          </w:p>
          <w:p w14:paraId="25EA49AD" w14:textId="19201B9C" w:rsidR="002729E9" w:rsidRDefault="002729E9" w:rsidP="002729E9">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lang w:eastAsia="fr-FR" w:bidi="ar-SA"/>
              </w:rPr>
            </w:pPr>
            <w:r w:rsidRPr="00883CCA">
              <w:rPr>
                <w:rFonts w:ascii="Franklin Gothic Book" w:hAnsi="Franklin Gothic Book" w:cs="Calibri"/>
                <w:color w:val="00B0F0"/>
                <w:lang w:eastAsia="fr-FR" w:bidi="ar-SA"/>
              </w:rPr>
              <w:t>R</w:t>
            </w:r>
            <w:r w:rsidR="004E76B0" w:rsidRPr="00883CCA">
              <w:rPr>
                <w:rFonts w:ascii="Franklin Gothic Book" w:hAnsi="Franklin Gothic Book" w:cs="Calibri"/>
                <w:color w:val="00B0F0"/>
                <w:lang w:eastAsia="fr-FR" w:bidi="ar-SA"/>
              </w:rPr>
              <w:t>evisions to revenue and budget projections</w:t>
            </w:r>
            <w:r w:rsidRPr="00883CCA">
              <w:rPr>
                <w:rFonts w:ascii="Franklin Gothic Book" w:hAnsi="Franklin Gothic Book" w:cs="Calibri"/>
                <w:color w:val="00B0F0"/>
                <w:lang w:eastAsia="fr-FR" w:bidi="ar-SA"/>
              </w:rPr>
              <w:t xml:space="preserve"> (including breakeven commodity price assumptions)</w:t>
            </w:r>
            <w:r w:rsidR="00B60C55">
              <w:rPr>
                <w:rFonts w:ascii="Franklin Gothic Book" w:hAnsi="Franklin Gothic Book" w:cs="Calibri"/>
                <w:color w:val="00B0F0"/>
                <w:lang w:eastAsia="fr-FR" w:bidi="ar-SA"/>
              </w:rPr>
              <w:t>.</w:t>
            </w:r>
          </w:p>
          <w:p w14:paraId="50A60287" w14:textId="43CB1F54" w:rsidR="002356D7" w:rsidRDefault="002356D7" w:rsidP="002729E9">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lang w:eastAsia="fr-FR" w:bidi="ar-SA"/>
              </w:rPr>
            </w:pPr>
            <w:r>
              <w:rPr>
                <w:rFonts w:ascii="Franklin Gothic Book" w:hAnsi="Franklin Gothic Book" w:cs="Calibri"/>
                <w:color w:val="00B0F0"/>
                <w:lang w:eastAsia="fr-FR" w:bidi="ar-SA"/>
              </w:rPr>
              <w:t>Potential effects of different energy transition scenarios on revenues from the extractive industry</w:t>
            </w:r>
          </w:p>
          <w:p w14:paraId="1E314D50" w14:textId="602BD87C" w:rsidR="00EE6D3D" w:rsidRPr="002356D7" w:rsidRDefault="002356D7" w:rsidP="002356D7">
            <w:pPr>
              <w:pStyle w:val="ListParagraph"/>
              <w:numPr>
                <w:ilvl w:val="0"/>
                <w:numId w:val="34"/>
              </w:numPr>
              <w:tabs>
                <w:tab w:val="left" w:pos="426"/>
                <w:tab w:val="left" w:pos="709"/>
              </w:tabs>
              <w:spacing w:before="120" w:after="120" w:line="240" w:lineRule="exact"/>
              <w:ind w:left="397" w:hanging="113"/>
              <w:jc w:val="left"/>
              <w:rPr>
                <w:color w:val="00B0F0"/>
              </w:rPr>
            </w:pPr>
            <w:r w:rsidRPr="0095228B">
              <w:rPr>
                <w:rFonts w:ascii="Franklin Gothic Book" w:hAnsi="Franklin Gothic Book" w:cs="Calibri"/>
                <w:color w:val="00B0F0"/>
                <w:lang w:eastAsia="fr-FR" w:bidi="ar-SA"/>
              </w:rPr>
              <w:t>Potential implications of the energy transition for national spending, debt</w:t>
            </w:r>
            <w:r w:rsidR="0095228B" w:rsidRPr="0095228B">
              <w:rPr>
                <w:rFonts w:ascii="Franklin Gothic Book" w:hAnsi="Franklin Gothic Book" w:cs="Calibri"/>
                <w:color w:val="00B0F0"/>
                <w:lang w:eastAsia="fr-FR" w:bidi="ar-SA"/>
              </w:rPr>
              <w:t xml:space="preserve"> and </w:t>
            </w:r>
            <w:r w:rsidR="004E76B0" w:rsidRPr="00883CCA">
              <w:rPr>
                <w:rFonts w:ascii="Franklin Gothic Book" w:hAnsi="Franklin Gothic Book" w:cs="Calibri"/>
                <w:color w:val="00B0F0"/>
                <w:lang w:eastAsia="fr-FR" w:bidi="ar-SA"/>
              </w:rPr>
              <w:t>use of sovereign wealth funds</w:t>
            </w:r>
            <w:r w:rsidR="00B60C55">
              <w:rPr>
                <w:rFonts w:ascii="Franklin Gothic Book" w:hAnsi="Franklin Gothic Book" w:cs="Calibri"/>
                <w:color w:val="00B0F0"/>
                <w:lang w:eastAsia="fr-FR" w:bidi="ar-SA"/>
              </w:rPr>
              <w:t>.</w:t>
            </w:r>
          </w:p>
        </w:tc>
      </w:tr>
      <w:tr w:rsidR="008306FF" w:rsidRPr="00233966" w14:paraId="1CB56075" w14:textId="77777777" w:rsidTr="68CBBC64">
        <w:tc>
          <w:tcPr>
            <w:tcW w:w="2977" w:type="dxa"/>
            <w:shd w:val="clear" w:color="auto" w:fill="auto"/>
          </w:tcPr>
          <w:p w14:paraId="673B0EE6" w14:textId="06ABEB80" w:rsidR="008306FF" w:rsidRPr="00FD1ABC" w:rsidRDefault="00D00857" w:rsidP="00B42278">
            <w:pPr>
              <w:tabs>
                <w:tab w:val="left" w:pos="426"/>
                <w:tab w:val="left" w:pos="709"/>
              </w:tabs>
              <w:spacing w:before="120" w:after="120" w:line="240" w:lineRule="exact"/>
              <w:jc w:val="left"/>
              <w:rPr>
                <w:rFonts w:ascii="Franklin Gothic Book" w:hAnsi="Franklin Gothic Book" w:cs="Calibri"/>
                <w:color w:val="000000" w:themeColor="text1"/>
                <w:lang w:eastAsia="fr-FR" w:bidi="ar-SA"/>
              </w:rPr>
            </w:pPr>
            <w:r>
              <w:rPr>
                <w:rFonts w:ascii="Franklin Gothic Book" w:hAnsi="Franklin Gothic Book" w:cs="Calibri"/>
                <w:color w:val="000000" w:themeColor="text1"/>
                <w:lang w:eastAsia="fr-FR" w:bidi="ar-SA"/>
              </w:rPr>
              <w:t xml:space="preserve">Information about </w:t>
            </w:r>
            <w:r w:rsidRPr="00D00857">
              <w:rPr>
                <w:rFonts w:ascii="Franklin Gothic Book" w:hAnsi="Franklin Gothic Book" w:cs="Calibri"/>
                <w:color w:val="000000" w:themeColor="text1"/>
                <w:lang w:eastAsia="fr-FR" w:bidi="ar-SA"/>
              </w:rPr>
              <w:t>social expenditure and environmental payments in accordance with Requirement 6.1.</w:t>
            </w:r>
          </w:p>
        </w:tc>
        <w:tc>
          <w:tcPr>
            <w:tcW w:w="5699" w:type="dxa"/>
          </w:tcPr>
          <w:p w14:paraId="6A564587" w14:textId="5C757CD3" w:rsidR="004C0AC3" w:rsidRPr="00883CCA" w:rsidRDefault="004C0AC3" w:rsidP="004C0AC3">
            <w:pPr>
              <w:tabs>
                <w:tab w:val="left" w:pos="426"/>
                <w:tab w:val="left" w:pos="709"/>
              </w:tabs>
              <w:spacing w:before="120" w:after="120" w:line="240" w:lineRule="exact"/>
              <w:jc w:val="left"/>
              <w:rPr>
                <w:rFonts w:ascii="Franklin Gothic Book" w:hAnsi="Franklin Gothic Book" w:cs="Calibri"/>
                <w:color w:val="00B0F0"/>
                <w:lang w:eastAsia="fr-FR" w:bidi="ar-SA"/>
              </w:rPr>
            </w:pPr>
            <w:r w:rsidRPr="00883CCA">
              <w:rPr>
                <w:rFonts w:ascii="Franklin Gothic Book" w:hAnsi="Franklin Gothic Book" w:cs="Calibri"/>
                <w:color w:val="00B0F0"/>
                <w:lang w:eastAsia="fr-FR" w:bidi="ar-SA"/>
              </w:rPr>
              <w:t xml:space="preserve">The MSG could consider </w:t>
            </w:r>
            <w:r w:rsidR="0073165D">
              <w:rPr>
                <w:rFonts w:ascii="Franklin Gothic Book" w:hAnsi="Franklin Gothic Book" w:cs="Calibri"/>
                <w:color w:val="00B0F0"/>
                <w:lang w:eastAsia="fr-FR" w:bidi="ar-SA"/>
              </w:rPr>
              <w:t xml:space="preserve">also </w:t>
            </w:r>
            <w:r w:rsidRPr="00883CCA">
              <w:rPr>
                <w:rFonts w:ascii="Franklin Gothic Book" w:hAnsi="Franklin Gothic Book" w:cs="Calibri"/>
                <w:color w:val="00B0F0"/>
                <w:lang w:eastAsia="fr-FR" w:bidi="ar-SA"/>
              </w:rPr>
              <w:t>covering:</w:t>
            </w:r>
          </w:p>
          <w:p w14:paraId="2087857E" w14:textId="0D1CF5CD" w:rsidR="00A46B62" w:rsidRDefault="5023077D">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lang w:eastAsia="fr-FR" w:bidi="ar-SA"/>
              </w:rPr>
            </w:pPr>
            <w:r w:rsidRPr="68CBBC64">
              <w:rPr>
                <w:rFonts w:ascii="Franklin Gothic Book" w:hAnsi="Franklin Gothic Book" w:cs="Calibri"/>
                <w:color w:val="00B0F0"/>
                <w:lang w:eastAsia="fr-FR" w:bidi="ar-SA"/>
              </w:rPr>
              <w:t>Reforms in legal and contractual social expenditure requirements in light of the C</w:t>
            </w:r>
            <w:r w:rsidR="65B3FCE6" w:rsidRPr="68CBBC64">
              <w:rPr>
                <w:rFonts w:ascii="Franklin Gothic Book" w:hAnsi="Franklin Gothic Book" w:cs="Calibri"/>
                <w:color w:val="00B0F0"/>
                <w:lang w:eastAsia="fr-FR" w:bidi="ar-SA"/>
              </w:rPr>
              <w:t>ovid</w:t>
            </w:r>
            <w:r w:rsidRPr="68CBBC64">
              <w:rPr>
                <w:rFonts w:ascii="Franklin Gothic Book" w:hAnsi="Franklin Gothic Book" w:cs="Calibri"/>
                <w:color w:val="00B0F0"/>
                <w:lang w:eastAsia="fr-FR" w:bidi="ar-SA"/>
              </w:rPr>
              <w:t xml:space="preserve">-19 </w:t>
            </w:r>
            <w:r w:rsidR="00366F5A">
              <w:rPr>
                <w:rFonts w:ascii="Franklin Gothic Book" w:hAnsi="Franklin Gothic Book" w:cs="Calibri"/>
                <w:color w:val="00B0F0"/>
                <w:lang w:eastAsia="fr-FR" w:bidi="ar-SA"/>
              </w:rPr>
              <w:t>pandemic</w:t>
            </w:r>
            <w:r w:rsidRPr="68CBBC64">
              <w:rPr>
                <w:rFonts w:ascii="Franklin Gothic Book" w:hAnsi="Franklin Gothic Book" w:cs="Calibri"/>
                <w:color w:val="00B0F0"/>
                <w:lang w:eastAsia="fr-FR" w:bidi="ar-SA"/>
              </w:rPr>
              <w:t>.</w:t>
            </w:r>
          </w:p>
          <w:p w14:paraId="5FB7794D" w14:textId="7BDDE71D" w:rsidR="007C5634" w:rsidRPr="00363386" w:rsidRDefault="00A46B62" w:rsidP="00363386">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lang w:eastAsia="fr-FR" w:bidi="ar-SA"/>
              </w:rPr>
            </w:pPr>
            <w:r w:rsidRPr="00A46B62">
              <w:rPr>
                <w:rFonts w:ascii="Franklin Gothic Book" w:hAnsi="Franklin Gothic Book" w:cs="Calibri"/>
                <w:color w:val="00B0F0"/>
                <w:lang w:eastAsia="fr-FR" w:bidi="ar-SA"/>
              </w:rPr>
              <w:t>Changes to companies’ social expenditure plans and possible impacts on local governments and local communities</w:t>
            </w:r>
            <w:r w:rsidR="00935B91">
              <w:rPr>
                <w:rFonts w:ascii="Franklin Gothic Book" w:hAnsi="Franklin Gothic Book" w:cs="Calibri"/>
                <w:color w:val="00B0F0"/>
                <w:lang w:eastAsia="fr-FR" w:bidi="ar-SA"/>
              </w:rPr>
              <w:t>.</w:t>
            </w:r>
          </w:p>
        </w:tc>
      </w:tr>
      <w:tr w:rsidR="00871094" w:rsidRPr="00233966" w14:paraId="173A08AE" w14:textId="77777777" w:rsidTr="68CBBC64">
        <w:tc>
          <w:tcPr>
            <w:tcW w:w="2977" w:type="dxa"/>
            <w:shd w:val="clear" w:color="auto" w:fill="auto"/>
          </w:tcPr>
          <w:p w14:paraId="2B859C45" w14:textId="77777777" w:rsidR="00871094" w:rsidRPr="00FD1ABC" w:rsidRDefault="00871094" w:rsidP="00B42278">
            <w:pPr>
              <w:tabs>
                <w:tab w:val="left" w:pos="426"/>
                <w:tab w:val="left" w:pos="709"/>
              </w:tabs>
              <w:spacing w:before="120" w:after="120" w:line="240" w:lineRule="exact"/>
              <w:jc w:val="left"/>
              <w:rPr>
                <w:rFonts w:ascii="Franklin Gothic Book" w:hAnsi="Franklin Gothic Book" w:cs="Calibri"/>
                <w:color w:val="000000" w:themeColor="text1"/>
                <w:lang w:eastAsia="fr-FR" w:bidi="ar-SA"/>
              </w:rPr>
            </w:pPr>
            <w:r w:rsidRPr="00FD1ABC">
              <w:rPr>
                <w:rFonts w:ascii="Franklin Gothic Book" w:hAnsi="Franklin Gothic Book" w:cs="Calibri"/>
                <w:color w:val="000000" w:themeColor="text1"/>
                <w:lang w:eastAsia="fr-FR" w:bidi="ar-SA"/>
              </w:rPr>
              <w:t>Information about the contribution of the extractive industries to the economy in accordance with EITI Requirement 6.3.</w:t>
            </w:r>
          </w:p>
        </w:tc>
        <w:tc>
          <w:tcPr>
            <w:tcW w:w="5699" w:type="dxa"/>
          </w:tcPr>
          <w:p w14:paraId="1A189526" w14:textId="22429C65" w:rsidR="002729E9" w:rsidRPr="00883CCA" w:rsidRDefault="002729E9" w:rsidP="002729E9">
            <w:pPr>
              <w:tabs>
                <w:tab w:val="left" w:pos="426"/>
                <w:tab w:val="left" w:pos="709"/>
              </w:tabs>
              <w:spacing w:before="120" w:after="120" w:line="240" w:lineRule="exact"/>
              <w:jc w:val="left"/>
              <w:rPr>
                <w:rFonts w:ascii="Franklin Gothic Book" w:hAnsi="Franklin Gothic Book" w:cs="Calibri"/>
                <w:color w:val="00B0F0"/>
                <w:lang w:eastAsia="fr-FR" w:bidi="ar-SA"/>
              </w:rPr>
            </w:pPr>
            <w:r w:rsidRPr="00883CCA">
              <w:rPr>
                <w:rFonts w:ascii="Franklin Gothic Book" w:hAnsi="Franklin Gothic Book" w:cs="Calibri"/>
                <w:color w:val="00B0F0"/>
                <w:lang w:eastAsia="fr-FR" w:bidi="ar-SA"/>
              </w:rPr>
              <w:t xml:space="preserve">The MSG could consider </w:t>
            </w:r>
            <w:r w:rsidR="0073165D">
              <w:rPr>
                <w:rFonts w:ascii="Franklin Gothic Book" w:hAnsi="Franklin Gothic Book" w:cs="Calibri"/>
                <w:color w:val="00B0F0"/>
                <w:lang w:eastAsia="fr-FR" w:bidi="ar-SA"/>
              </w:rPr>
              <w:t xml:space="preserve">also </w:t>
            </w:r>
            <w:r w:rsidRPr="00883CCA">
              <w:rPr>
                <w:rFonts w:ascii="Franklin Gothic Book" w:hAnsi="Franklin Gothic Book" w:cs="Calibri"/>
                <w:color w:val="00B0F0"/>
                <w:lang w:eastAsia="fr-FR" w:bidi="ar-SA"/>
              </w:rPr>
              <w:t>covering:</w:t>
            </w:r>
          </w:p>
          <w:p w14:paraId="77ADC479" w14:textId="42292307" w:rsidR="00871094" w:rsidRDefault="04BB3DFF" w:rsidP="002729E9">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lang w:eastAsia="fr-FR" w:bidi="ar-SA"/>
              </w:rPr>
            </w:pPr>
            <w:r w:rsidRPr="68CBBC64">
              <w:rPr>
                <w:rFonts w:ascii="Franklin Gothic Book" w:hAnsi="Franklin Gothic Book" w:cs="Calibri"/>
                <w:color w:val="00B0F0"/>
                <w:lang w:eastAsia="fr-FR" w:bidi="ar-SA"/>
              </w:rPr>
              <w:t>I</w:t>
            </w:r>
            <w:r w:rsidR="004E76B0" w:rsidRPr="68CBBC64">
              <w:rPr>
                <w:rFonts w:ascii="Franklin Gothic Book" w:hAnsi="Franklin Gothic Book" w:cs="Calibri"/>
                <w:color w:val="00B0F0"/>
                <w:lang w:eastAsia="fr-FR" w:bidi="ar-SA"/>
              </w:rPr>
              <w:t xml:space="preserve">mpact </w:t>
            </w:r>
            <w:r w:rsidRPr="68CBBC64">
              <w:rPr>
                <w:rFonts w:ascii="Franklin Gothic Book" w:hAnsi="Franklin Gothic Book" w:cs="Calibri"/>
                <w:color w:val="00B0F0"/>
                <w:lang w:eastAsia="fr-FR" w:bidi="ar-SA"/>
              </w:rPr>
              <w:t>of C</w:t>
            </w:r>
            <w:r w:rsidR="1AA27AAE" w:rsidRPr="68CBBC64">
              <w:rPr>
                <w:rFonts w:ascii="Franklin Gothic Book" w:hAnsi="Franklin Gothic Book" w:cs="Calibri"/>
                <w:color w:val="00B0F0"/>
                <w:lang w:eastAsia="fr-FR" w:bidi="ar-SA"/>
              </w:rPr>
              <w:t>ovid</w:t>
            </w:r>
            <w:r w:rsidRPr="68CBBC64">
              <w:rPr>
                <w:rFonts w:ascii="Franklin Gothic Book" w:hAnsi="Franklin Gothic Book" w:cs="Calibri"/>
                <w:color w:val="00B0F0"/>
                <w:lang w:eastAsia="fr-FR" w:bidi="ar-SA"/>
              </w:rPr>
              <w:t xml:space="preserve">-19 and </w:t>
            </w:r>
            <w:r w:rsidR="001B0444">
              <w:rPr>
                <w:rFonts w:ascii="Franklin Gothic Book" w:hAnsi="Franklin Gothic Book" w:cs="Calibri"/>
                <w:color w:val="00B0F0"/>
                <w:lang w:eastAsia="fr-FR" w:bidi="ar-SA"/>
              </w:rPr>
              <w:t>the energy transition</w:t>
            </w:r>
            <w:r w:rsidRPr="68CBBC64">
              <w:rPr>
                <w:rFonts w:ascii="Franklin Gothic Book" w:hAnsi="Franklin Gothic Book" w:cs="Calibri"/>
                <w:color w:val="00B0F0"/>
                <w:lang w:eastAsia="fr-FR" w:bidi="ar-SA"/>
              </w:rPr>
              <w:t xml:space="preserve"> </w:t>
            </w:r>
            <w:r w:rsidR="004E76B0" w:rsidRPr="68CBBC64">
              <w:rPr>
                <w:rFonts w:ascii="Franklin Gothic Book" w:hAnsi="Franklin Gothic Book" w:cs="Calibri"/>
                <w:color w:val="00B0F0"/>
                <w:lang w:eastAsia="fr-FR" w:bidi="ar-SA"/>
              </w:rPr>
              <w:t>on exports and employment</w:t>
            </w:r>
            <w:r w:rsidR="00B60C55">
              <w:rPr>
                <w:rFonts w:ascii="Franklin Gothic Book" w:hAnsi="Franklin Gothic Book" w:cs="Calibri"/>
                <w:color w:val="00B0F0"/>
                <w:lang w:eastAsia="fr-FR" w:bidi="ar-SA"/>
              </w:rPr>
              <w:t>.</w:t>
            </w:r>
            <w:r w:rsidR="004E76B0" w:rsidRPr="68CBBC64">
              <w:rPr>
                <w:rFonts w:ascii="Franklin Gothic Book" w:hAnsi="Franklin Gothic Book" w:cs="Calibri"/>
                <w:color w:val="00B0F0"/>
                <w:lang w:eastAsia="fr-FR" w:bidi="ar-SA"/>
              </w:rPr>
              <w:t xml:space="preserve"> </w:t>
            </w:r>
          </w:p>
          <w:p w14:paraId="3FC8D902" w14:textId="3A3490BE" w:rsidR="00115458" w:rsidRPr="00363386" w:rsidRDefault="00045305">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lang w:eastAsia="fr-FR" w:bidi="ar-SA"/>
              </w:rPr>
            </w:pPr>
            <w:r>
              <w:rPr>
                <w:rFonts w:ascii="Franklin Gothic Book" w:hAnsi="Franklin Gothic Book" w:cs="Calibri"/>
                <w:color w:val="00B0F0"/>
                <w:lang w:eastAsia="fr-FR" w:bidi="ar-SA"/>
              </w:rPr>
              <w:t xml:space="preserve">Impact of the </w:t>
            </w:r>
            <w:r w:rsidR="001B0444">
              <w:rPr>
                <w:rFonts w:ascii="Franklin Gothic Book" w:hAnsi="Franklin Gothic Book" w:cs="Calibri"/>
                <w:color w:val="00B0F0"/>
                <w:lang w:eastAsia="fr-FR" w:bidi="ar-SA"/>
              </w:rPr>
              <w:t>energy transition</w:t>
            </w:r>
            <w:r>
              <w:rPr>
                <w:rFonts w:ascii="Franklin Gothic Book" w:hAnsi="Franklin Gothic Book" w:cs="Calibri"/>
                <w:color w:val="00B0F0"/>
                <w:lang w:eastAsia="fr-FR" w:bidi="ar-SA"/>
              </w:rPr>
              <w:t xml:space="preserve"> on the extractive sector and general economic outlook.</w:t>
            </w:r>
          </w:p>
        </w:tc>
      </w:tr>
      <w:tr w:rsidR="00871094" w:rsidRPr="00233966" w14:paraId="7C8640EA" w14:textId="77777777" w:rsidTr="68CBBC64">
        <w:tc>
          <w:tcPr>
            <w:tcW w:w="2977" w:type="dxa"/>
            <w:shd w:val="clear" w:color="auto" w:fill="auto"/>
          </w:tcPr>
          <w:p w14:paraId="286BC4B8" w14:textId="77777777" w:rsidR="00871094" w:rsidRPr="009C5947" w:rsidRDefault="00871094" w:rsidP="00B42278">
            <w:pPr>
              <w:tabs>
                <w:tab w:val="left" w:pos="426"/>
                <w:tab w:val="left" w:pos="709"/>
              </w:tabs>
              <w:spacing w:before="120" w:after="120" w:line="240" w:lineRule="exact"/>
              <w:jc w:val="left"/>
              <w:rPr>
                <w:rFonts w:ascii="Franklin Gothic Book" w:hAnsi="Franklin Gothic Book" w:cs="Calibri"/>
                <w:color w:val="000000" w:themeColor="text1"/>
                <w:lang w:eastAsia="fr-FR" w:bidi="ar-SA"/>
              </w:rPr>
            </w:pPr>
            <w:r w:rsidRPr="00FD1ABC">
              <w:rPr>
                <w:rFonts w:ascii="Franklin Gothic Book" w:hAnsi="Franklin Gothic Book" w:cs="Calibri"/>
                <w:color w:val="000000" w:themeColor="text1"/>
                <w:lang w:eastAsia="fr-FR" w:bidi="ar-SA"/>
              </w:rPr>
              <w:t xml:space="preserve">Any further information requested by the MSG on </w:t>
            </w:r>
            <w:r>
              <w:rPr>
                <w:rFonts w:ascii="Franklin Gothic Book" w:hAnsi="Franklin Gothic Book" w:cs="Calibri"/>
                <w:color w:val="000000" w:themeColor="text1"/>
                <w:lang w:eastAsia="fr-FR" w:bidi="ar-SA"/>
              </w:rPr>
              <w:t xml:space="preserve">environmental impact of extractive activities </w:t>
            </w:r>
            <w:r w:rsidRPr="00FD1ABC">
              <w:rPr>
                <w:rFonts w:ascii="Franklin Gothic Book" w:hAnsi="Franklin Gothic Book" w:cs="Calibri"/>
                <w:color w:val="000000" w:themeColor="text1"/>
                <w:lang w:eastAsia="fr-FR" w:bidi="ar-SA"/>
              </w:rPr>
              <w:t xml:space="preserve">in accordance with EITI Requirement </w:t>
            </w:r>
            <w:r>
              <w:rPr>
                <w:rFonts w:ascii="Franklin Gothic Book" w:hAnsi="Franklin Gothic Book" w:cs="Calibri"/>
                <w:color w:val="000000" w:themeColor="text1"/>
                <w:lang w:eastAsia="fr-FR" w:bidi="ar-SA"/>
              </w:rPr>
              <w:t>6.4</w:t>
            </w:r>
            <w:r w:rsidRPr="00FD1ABC">
              <w:rPr>
                <w:rFonts w:ascii="Franklin Gothic Book" w:hAnsi="Franklin Gothic Book" w:cs="Calibri"/>
                <w:color w:val="000000" w:themeColor="text1"/>
                <w:lang w:eastAsia="fr-FR" w:bidi="ar-SA"/>
              </w:rPr>
              <w:t>.</w:t>
            </w:r>
          </w:p>
        </w:tc>
        <w:tc>
          <w:tcPr>
            <w:tcW w:w="5699" w:type="dxa"/>
          </w:tcPr>
          <w:p w14:paraId="6CA3C003" w14:textId="70769E30" w:rsidR="002729E9" w:rsidRPr="00883CCA" w:rsidRDefault="002729E9" w:rsidP="002729E9">
            <w:pPr>
              <w:tabs>
                <w:tab w:val="left" w:pos="426"/>
                <w:tab w:val="left" w:pos="709"/>
              </w:tabs>
              <w:spacing w:before="120" w:after="120" w:line="240" w:lineRule="exact"/>
              <w:jc w:val="left"/>
              <w:rPr>
                <w:rFonts w:ascii="Franklin Gothic Book" w:hAnsi="Franklin Gothic Book" w:cs="Calibri"/>
                <w:color w:val="00B0F0"/>
                <w:lang w:eastAsia="fr-FR" w:bidi="ar-SA"/>
              </w:rPr>
            </w:pPr>
            <w:r w:rsidRPr="00883CCA">
              <w:rPr>
                <w:rFonts w:ascii="Franklin Gothic Book" w:hAnsi="Franklin Gothic Book" w:cs="Calibri"/>
                <w:color w:val="00B0F0"/>
                <w:lang w:eastAsia="fr-FR" w:bidi="ar-SA"/>
              </w:rPr>
              <w:t xml:space="preserve">The MSG could consider </w:t>
            </w:r>
            <w:r w:rsidR="0073165D">
              <w:rPr>
                <w:rFonts w:ascii="Franklin Gothic Book" w:hAnsi="Franklin Gothic Book" w:cs="Calibri"/>
                <w:color w:val="00B0F0"/>
                <w:lang w:eastAsia="fr-FR" w:bidi="ar-SA"/>
              </w:rPr>
              <w:t xml:space="preserve">also </w:t>
            </w:r>
            <w:r w:rsidRPr="00883CCA">
              <w:rPr>
                <w:rFonts w:ascii="Franklin Gothic Book" w:hAnsi="Franklin Gothic Book" w:cs="Calibri"/>
                <w:color w:val="00B0F0"/>
                <w:lang w:eastAsia="fr-FR" w:bidi="ar-SA"/>
              </w:rPr>
              <w:t>covering:</w:t>
            </w:r>
          </w:p>
          <w:p w14:paraId="50C76B01" w14:textId="77777777" w:rsidR="00871094" w:rsidRDefault="002729E9" w:rsidP="002729E9">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lang w:eastAsia="fr-FR" w:bidi="ar-SA"/>
              </w:rPr>
            </w:pPr>
            <w:r w:rsidRPr="00883CCA">
              <w:rPr>
                <w:rFonts w:ascii="Franklin Gothic Book" w:hAnsi="Franklin Gothic Book" w:cs="Calibri"/>
                <w:color w:val="00B0F0"/>
                <w:lang w:eastAsia="fr-FR" w:bidi="ar-SA"/>
              </w:rPr>
              <w:t>Shifts in regulatory rules or enforcement related to environmental protection, climate mitigation, Free, Prior and Informed Consent and other consultations</w:t>
            </w:r>
            <w:r w:rsidR="00363386">
              <w:rPr>
                <w:rFonts w:ascii="Franklin Gothic Book" w:hAnsi="Franklin Gothic Book" w:cs="Calibri"/>
                <w:color w:val="00B0F0"/>
                <w:lang w:eastAsia="fr-FR" w:bidi="ar-SA"/>
              </w:rPr>
              <w:t>.</w:t>
            </w:r>
          </w:p>
          <w:p w14:paraId="49668196" w14:textId="795C1148" w:rsidR="00363386" w:rsidRPr="00883CCA" w:rsidRDefault="00363386" w:rsidP="002729E9">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lang w:eastAsia="fr-FR" w:bidi="ar-SA"/>
              </w:rPr>
            </w:pPr>
            <w:r>
              <w:rPr>
                <w:rFonts w:ascii="Franklin Gothic Book" w:hAnsi="Franklin Gothic Book" w:cs="Calibri"/>
                <w:color w:val="00B0F0"/>
                <w:lang w:eastAsia="fr-FR" w:bidi="ar-SA"/>
              </w:rPr>
              <w:t>Data on GHG emissions related to the extractive industries, at a company and project level if available.</w:t>
            </w:r>
          </w:p>
        </w:tc>
      </w:tr>
      <w:tr w:rsidR="00871094" w:rsidRPr="00233966" w14:paraId="6E6C842D" w14:textId="77777777" w:rsidTr="68CBBC64">
        <w:tc>
          <w:tcPr>
            <w:tcW w:w="2977" w:type="dxa"/>
            <w:shd w:val="clear" w:color="auto" w:fill="auto"/>
          </w:tcPr>
          <w:p w14:paraId="457540A7" w14:textId="6885F1F6" w:rsidR="00871094" w:rsidRPr="00FD1ABC" w:rsidRDefault="00871094" w:rsidP="00B42278">
            <w:pPr>
              <w:tabs>
                <w:tab w:val="left" w:pos="426"/>
                <w:tab w:val="left" w:pos="709"/>
              </w:tabs>
              <w:spacing w:before="120" w:after="120" w:line="240" w:lineRule="exact"/>
              <w:jc w:val="left"/>
              <w:rPr>
                <w:rFonts w:ascii="Franklin Gothic Book" w:hAnsi="Franklin Gothic Book" w:cs="Calibri"/>
                <w:color w:val="0070C0"/>
                <w:lang w:eastAsia="fr-FR" w:bidi="ar-SA"/>
              </w:rPr>
            </w:pPr>
            <w:r w:rsidRPr="00883CCA">
              <w:rPr>
                <w:rFonts w:ascii="Franklin Gothic Book" w:hAnsi="Franklin Gothic Book" w:cs="Calibri"/>
                <w:color w:val="00B0F0"/>
                <w:lang w:eastAsia="fr-FR" w:bidi="ar-SA"/>
              </w:rPr>
              <w:t>[Add any other information that the MSG has agreed to include in the EITI Report]</w:t>
            </w:r>
          </w:p>
        </w:tc>
        <w:tc>
          <w:tcPr>
            <w:tcW w:w="5699" w:type="dxa"/>
          </w:tcPr>
          <w:p w14:paraId="3E3E1305" w14:textId="77777777" w:rsidR="00871094" w:rsidRPr="00883CCA" w:rsidRDefault="00871094" w:rsidP="00B42278">
            <w:pPr>
              <w:tabs>
                <w:tab w:val="left" w:pos="426"/>
                <w:tab w:val="left" w:pos="709"/>
              </w:tabs>
              <w:spacing w:before="120" w:after="120" w:line="240" w:lineRule="exact"/>
              <w:jc w:val="left"/>
              <w:rPr>
                <w:rFonts w:ascii="Franklin Gothic Book" w:hAnsi="Franklin Gothic Book" w:cs="Calibri"/>
                <w:color w:val="00B0F0"/>
                <w:lang w:eastAsia="fr-FR" w:bidi="ar-SA"/>
              </w:rPr>
            </w:pPr>
          </w:p>
        </w:tc>
      </w:tr>
    </w:tbl>
    <w:p w14:paraId="23AB8D67" w14:textId="02164260" w:rsidR="00D145EC" w:rsidRPr="00C97685" w:rsidRDefault="00D145EC" w:rsidP="00E010FF">
      <w:pPr>
        <w:shd w:val="clear" w:color="auto" w:fill="FFFFFF"/>
        <w:tabs>
          <w:tab w:val="left" w:pos="426"/>
          <w:tab w:val="left" w:pos="709"/>
        </w:tabs>
        <w:spacing w:before="240" w:after="240" w:line="240" w:lineRule="auto"/>
        <w:jc w:val="left"/>
        <w:rPr>
          <w:rFonts w:ascii="Franklin Gothic Book" w:eastAsia="Calibri" w:hAnsi="Franklin Gothic Book"/>
          <w:b/>
          <w:bCs/>
          <w:lang w:eastAsia="nb-NO" w:bidi="ar-SA"/>
        </w:rPr>
      </w:pPr>
      <w:r w:rsidRPr="00C97685">
        <w:rPr>
          <w:rFonts w:ascii="Franklin Gothic Book" w:eastAsia="Calibri" w:hAnsi="Franklin Gothic Book"/>
          <w:b/>
          <w:bCs/>
          <w:lang w:eastAsia="nb-NO" w:bidi="ar-SA"/>
        </w:rPr>
        <w:t xml:space="preserve">Phase </w:t>
      </w:r>
      <w:r w:rsidR="009900EF" w:rsidRPr="00C97685">
        <w:rPr>
          <w:rFonts w:ascii="Franklin Gothic Book" w:eastAsia="Calibri" w:hAnsi="Franklin Gothic Book"/>
          <w:b/>
          <w:bCs/>
          <w:lang w:eastAsia="nb-NO" w:bidi="ar-SA"/>
        </w:rPr>
        <w:t>3</w:t>
      </w:r>
      <w:r w:rsidRPr="00C97685">
        <w:rPr>
          <w:rFonts w:ascii="Franklin Gothic Book" w:eastAsia="Calibri" w:hAnsi="Franklin Gothic Book"/>
          <w:b/>
          <w:bCs/>
          <w:lang w:eastAsia="nb-NO" w:bidi="ar-SA"/>
        </w:rPr>
        <w:t>: Compile and collect data</w:t>
      </w:r>
    </w:p>
    <w:p w14:paraId="523DEC62" w14:textId="05C99FD6" w:rsidR="00A44EC4" w:rsidRPr="00C97685" w:rsidRDefault="00A44EC4" w:rsidP="00A44EC4">
      <w:pPr>
        <w:shd w:val="clear" w:color="auto" w:fill="FFFFFF"/>
        <w:tabs>
          <w:tab w:val="left" w:pos="426"/>
          <w:tab w:val="left" w:pos="709"/>
        </w:tabs>
        <w:spacing w:before="240" w:after="240" w:line="240" w:lineRule="auto"/>
        <w:jc w:val="left"/>
        <w:rPr>
          <w:rFonts w:ascii="Franklin Gothic Book" w:eastAsia="Calibri" w:hAnsi="Franklin Gothic Book"/>
          <w:lang w:eastAsia="nb-NO" w:bidi="ar-SA"/>
        </w:rPr>
      </w:pPr>
      <w:r w:rsidRPr="00C97685">
        <w:rPr>
          <w:rFonts w:ascii="Franklin Gothic Book" w:eastAsia="Calibri" w:hAnsi="Franklin Gothic Book"/>
          <w:u w:val="single"/>
          <w:lang w:eastAsia="nb-NO" w:bidi="ar-SA"/>
        </w:rPr>
        <w:t>Objective</w:t>
      </w:r>
      <w:r w:rsidRPr="00C97685">
        <w:rPr>
          <w:rFonts w:ascii="Franklin Gothic Book" w:eastAsia="Calibri" w:hAnsi="Franklin Gothic Book"/>
          <w:lang w:eastAsia="nb-NO" w:bidi="ar-SA"/>
        </w:rPr>
        <w:t>:</w:t>
      </w:r>
      <w:r w:rsidR="004302B0" w:rsidRPr="00C97685">
        <w:rPr>
          <w:rFonts w:ascii="Franklin Gothic Book" w:eastAsia="Calibri" w:hAnsi="Franklin Gothic Book"/>
          <w:lang w:eastAsia="nb-NO" w:bidi="ar-SA"/>
        </w:rPr>
        <w:t xml:space="preserve"> The purpose of the second phase of work is to first review what information required by the EITI</w:t>
      </w:r>
      <w:r w:rsidR="00D7021B">
        <w:rPr>
          <w:rFonts w:ascii="Franklin Gothic Book" w:eastAsia="Calibri" w:hAnsi="Franklin Gothic Book"/>
          <w:lang w:eastAsia="nb-NO" w:bidi="ar-SA"/>
        </w:rPr>
        <w:t xml:space="preserve"> and agreed by the MSG to be included in the scope of reporting (Table 1)</w:t>
      </w:r>
      <w:r w:rsidR="004302B0" w:rsidRPr="00C97685">
        <w:rPr>
          <w:rFonts w:ascii="Franklin Gothic Book" w:eastAsia="Calibri" w:hAnsi="Franklin Gothic Book"/>
          <w:lang w:eastAsia="nb-NO" w:bidi="ar-SA"/>
        </w:rPr>
        <w:t xml:space="preserve"> is already publicly disclosed for the year under reporting, and to collect any additional information required to cover the gaps directly from government and company reporting entities.</w:t>
      </w:r>
      <w:r w:rsidR="00D7021B">
        <w:rPr>
          <w:rFonts w:ascii="Franklin Gothic Book" w:eastAsia="Calibri" w:hAnsi="Franklin Gothic Book"/>
          <w:lang w:eastAsia="nb-NO" w:bidi="ar-SA"/>
        </w:rPr>
        <w:t xml:space="preserve"> </w:t>
      </w:r>
      <w:r w:rsidR="000C2E14">
        <w:rPr>
          <w:rFonts w:ascii="Franklin Gothic Book" w:eastAsia="Calibri" w:hAnsi="Franklin Gothic Book"/>
          <w:lang w:eastAsia="nb-NO" w:bidi="ar-SA"/>
        </w:rPr>
        <w:t>The Validation data collection template on Transparency allows MSGs to map sources of systematic disclosures of EITI data by government and companies, plan</w:t>
      </w:r>
      <w:r w:rsidR="00AD7047">
        <w:rPr>
          <w:rFonts w:ascii="Franklin Gothic Book" w:eastAsia="Calibri" w:hAnsi="Franklin Gothic Book"/>
          <w:lang w:eastAsia="nb-NO" w:bidi="ar-SA"/>
        </w:rPr>
        <w:t xml:space="preserve"> and oversee additional EITI reporting</w:t>
      </w:r>
      <w:r w:rsidR="00F938FF">
        <w:rPr>
          <w:rFonts w:ascii="Franklin Gothic Book" w:eastAsia="Calibri" w:hAnsi="Franklin Gothic Book"/>
          <w:lang w:eastAsia="nb-NO" w:bidi="ar-SA"/>
        </w:rPr>
        <w:t>, including preparation of the summary data template,</w:t>
      </w:r>
      <w:r w:rsidR="00AD7047">
        <w:rPr>
          <w:rFonts w:ascii="Franklin Gothic Book" w:eastAsia="Calibri" w:hAnsi="Franklin Gothic Book"/>
          <w:lang w:eastAsia="nb-NO" w:bidi="ar-SA"/>
        </w:rPr>
        <w:t xml:space="preserve"> as well as prepare for Validation. </w:t>
      </w:r>
    </w:p>
    <w:p w14:paraId="175D58CB" w14:textId="5038C3FA" w:rsidR="00C77C2E" w:rsidRPr="009829E0" w:rsidRDefault="00883CCA" w:rsidP="009829E0">
      <w:pPr>
        <w:pStyle w:val="ListParagraph"/>
        <w:numPr>
          <w:ilvl w:val="0"/>
          <w:numId w:val="36"/>
        </w:numPr>
        <w:shd w:val="clear" w:color="auto" w:fill="FFFFFF"/>
        <w:tabs>
          <w:tab w:val="left" w:pos="426"/>
          <w:tab w:val="left" w:pos="709"/>
        </w:tabs>
        <w:spacing w:before="240" w:after="240" w:line="240" w:lineRule="auto"/>
        <w:ind w:left="697" w:hanging="340"/>
        <w:jc w:val="left"/>
        <w:rPr>
          <w:rFonts w:ascii="Franklin Gothic Book" w:eastAsia="Calibri" w:hAnsi="Franklin Gothic Book"/>
          <w:b/>
          <w:bCs/>
          <w:lang w:eastAsia="nb-NO" w:bidi="ar-SA"/>
        </w:rPr>
      </w:pPr>
      <w:r w:rsidRPr="00C77C2E">
        <w:rPr>
          <w:rFonts w:ascii="Franklin Gothic Book" w:eastAsia="Calibri" w:hAnsi="Franklin Gothic Book"/>
          <w:b/>
          <w:bCs/>
          <w:lang w:eastAsia="nb-NO" w:bidi="ar-SA"/>
        </w:rPr>
        <w:t>R</w:t>
      </w:r>
      <w:r w:rsidR="009900EF" w:rsidRPr="00C77C2E">
        <w:rPr>
          <w:rFonts w:ascii="Franklin Gothic Book" w:eastAsia="Calibri" w:hAnsi="Franklin Gothic Book"/>
          <w:b/>
          <w:bCs/>
          <w:lang w:eastAsia="nb-NO" w:bidi="ar-SA"/>
        </w:rPr>
        <w:t>eview</w:t>
      </w:r>
      <w:r w:rsidRPr="00C77C2E">
        <w:rPr>
          <w:rFonts w:ascii="Franklin Gothic Book" w:eastAsia="Calibri" w:hAnsi="Franklin Gothic Book"/>
          <w:b/>
          <w:bCs/>
          <w:lang w:eastAsia="nb-NO" w:bidi="ar-SA"/>
        </w:rPr>
        <w:t xml:space="preserve"> and compile</w:t>
      </w:r>
      <w:r w:rsidR="009900EF" w:rsidRPr="00C77C2E">
        <w:rPr>
          <w:rFonts w:ascii="Franklin Gothic Book" w:eastAsia="Calibri" w:hAnsi="Franklin Gothic Book"/>
          <w:b/>
          <w:bCs/>
          <w:lang w:eastAsia="nb-NO" w:bidi="ar-SA"/>
        </w:rPr>
        <w:t xml:space="preserve"> </w:t>
      </w:r>
      <w:r w:rsidR="00D145EC" w:rsidRPr="00C77C2E">
        <w:rPr>
          <w:rFonts w:ascii="Franklin Gothic Book" w:eastAsia="Calibri" w:hAnsi="Franklin Gothic Book"/>
          <w:b/>
          <w:bCs/>
          <w:lang w:eastAsia="nb-NO" w:bidi="ar-SA"/>
        </w:rPr>
        <w:t>data accessible from public sources</w:t>
      </w:r>
      <w:r w:rsidRPr="00C77C2E">
        <w:rPr>
          <w:rFonts w:ascii="Franklin Gothic Book" w:eastAsia="Calibri" w:hAnsi="Franklin Gothic Book"/>
          <w:b/>
          <w:bCs/>
          <w:lang w:eastAsia="nb-NO" w:bidi="ar-SA"/>
        </w:rPr>
        <w:t xml:space="preserve">. </w:t>
      </w:r>
      <w:r w:rsidRPr="00C77C2E">
        <w:rPr>
          <w:rFonts w:ascii="Franklin Gothic Book" w:eastAsia="Calibri" w:hAnsi="Franklin Gothic Book"/>
          <w:lang w:eastAsia="nb-NO" w:bidi="ar-SA"/>
        </w:rPr>
        <w:t xml:space="preserve">In </w:t>
      </w:r>
      <w:r w:rsidR="00C77C2E">
        <w:rPr>
          <w:rFonts w:ascii="Franklin Gothic Book" w:eastAsia="Calibri" w:hAnsi="Franklin Gothic Book"/>
          <w:lang w:eastAsia="nb-NO" w:bidi="ar-SA"/>
        </w:rPr>
        <w:t>accordance</w:t>
      </w:r>
      <w:r w:rsidRPr="00C77C2E">
        <w:rPr>
          <w:rFonts w:ascii="Franklin Gothic Book" w:eastAsia="Calibri" w:hAnsi="Franklin Gothic Book"/>
          <w:lang w:eastAsia="nb-NO" w:bidi="ar-SA"/>
        </w:rPr>
        <w:t xml:space="preserve"> with the division of labour agreed by the MSG, </w:t>
      </w:r>
      <w:r w:rsidR="00016703">
        <w:rPr>
          <w:rFonts w:ascii="Franklin Gothic Book" w:eastAsia="Calibri" w:hAnsi="Franklin Gothic Book"/>
          <w:color w:val="00B0F0"/>
          <w:lang w:eastAsia="nb-NO" w:bidi="ar-SA"/>
        </w:rPr>
        <w:t>[</w:t>
      </w:r>
      <w:r w:rsidRPr="00C77C2E">
        <w:rPr>
          <w:rFonts w:ascii="Franklin Gothic Book" w:eastAsia="Calibri" w:hAnsi="Franklin Gothic Book"/>
          <w:color w:val="00B0F0"/>
          <w:lang w:eastAsia="nb-NO" w:bidi="ar-SA"/>
        </w:rPr>
        <w:t>MSG, national secretariat or consultant</w:t>
      </w:r>
      <w:r w:rsidR="00016703">
        <w:rPr>
          <w:rFonts w:ascii="Franklin Gothic Book" w:eastAsia="Calibri" w:hAnsi="Franklin Gothic Book"/>
          <w:color w:val="00B0F0"/>
          <w:lang w:eastAsia="nb-NO" w:bidi="ar-SA"/>
        </w:rPr>
        <w:t>]</w:t>
      </w:r>
      <w:r w:rsidR="00016703" w:rsidRPr="003A6E94">
        <w:rPr>
          <w:rFonts w:ascii="Franklin Gothic Book" w:eastAsia="Calibri" w:hAnsi="Franklin Gothic Book"/>
          <w:lang w:eastAsia="nb-NO" w:bidi="ar-SA"/>
        </w:rPr>
        <w:t xml:space="preserve"> </w:t>
      </w:r>
      <w:r w:rsidRPr="00C77C2E">
        <w:rPr>
          <w:rFonts w:ascii="Franklin Gothic Book" w:eastAsia="Calibri" w:hAnsi="Franklin Gothic Book"/>
          <w:lang w:eastAsia="nb-NO" w:bidi="ar-SA"/>
        </w:rPr>
        <w:t>should review the existing information disclosed by government entities and companies</w:t>
      </w:r>
      <w:r w:rsidR="00C77C2E">
        <w:rPr>
          <w:rFonts w:ascii="Franklin Gothic Book" w:eastAsia="Calibri" w:hAnsi="Franklin Gothic Book"/>
          <w:lang w:eastAsia="nb-NO" w:bidi="ar-SA"/>
        </w:rPr>
        <w:t>.</w:t>
      </w:r>
      <w:r w:rsidR="009829E0">
        <w:rPr>
          <w:rFonts w:ascii="Franklin Gothic Book" w:eastAsia="Calibri" w:hAnsi="Franklin Gothic Book"/>
          <w:lang w:eastAsia="nb-NO" w:bidi="ar-SA"/>
        </w:rPr>
        <w:t xml:space="preserve"> </w:t>
      </w:r>
    </w:p>
    <w:p w14:paraId="00765C00" w14:textId="77777777" w:rsidR="009829E0" w:rsidRPr="009829E0" w:rsidRDefault="009829E0" w:rsidP="009829E0">
      <w:pPr>
        <w:pStyle w:val="ListParagraph"/>
        <w:shd w:val="clear" w:color="auto" w:fill="FFFFFF"/>
        <w:tabs>
          <w:tab w:val="left" w:pos="426"/>
          <w:tab w:val="left" w:pos="709"/>
        </w:tabs>
        <w:spacing w:before="240" w:after="240" w:line="240" w:lineRule="auto"/>
        <w:ind w:left="697"/>
        <w:jc w:val="left"/>
        <w:rPr>
          <w:rFonts w:ascii="Franklin Gothic Book" w:eastAsia="Calibri" w:hAnsi="Franklin Gothic Book"/>
          <w:b/>
          <w:bCs/>
          <w:lang w:eastAsia="nb-NO" w:bidi="ar-SA"/>
        </w:rPr>
      </w:pPr>
    </w:p>
    <w:p w14:paraId="27C1E608" w14:textId="0CDDAADE" w:rsidR="00D7021B" w:rsidRPr="001B331B" w:rsidRDefault="00D145EC" w:rsidP="00D7021B">
      <w:pPr>
        <w:pStyle w:val="ListParagraph"/>
        <w:numPr>
          <w:ilvl w:val="0"/>
          <w:numId w:val="36"/>
        </w:numPr>
        <w:shd w:val="clear" w:color="auto" w:fill="FFFFFF"/>
        <w:tabs>
          <w:tab w:val="left" w:pos="426"/>
          <w:tab w:val="left" w:pos="709"/>
        </w:tabs>
        <w:spacing w:before="240" w:after="240" w:line="240" w:lineRule="auto"/>
        <w:ind w:left="697" w:hanging="340"/>
        <w:jc w:val="left"/>
        <w:rPr>
          <w:rFonts w:ascii="Franklin Gothic Book" w:eastAsia="Calibri" w:hAnsi="Franklin Gothic Book"/>
          <w:b/>
          <w:bCs/>
          <w:lang w:eastAsia="nb-NO" w:bidi="ar-SA"/>
        </w:rPr>
      </w:pPr>
      <w:r w:rsidRPr="00C77C2E">
        <w:rPr>
          <w:rFonts w:ascii="Franklin Gothic Book" w:eastAsia="Calibri" w:hAnsi="Franklin Gothic Book"/>
          <w:b/>
          <w:bCs/>
          <w:lang w:eastAsia="nb-NO" w:bidi="ar-SA"/>
        </w:rPr>
        <w:t>Collect additional data from reporting entities</w:t>
      </w:r>
      <w:r w:rsidR="00C77C2E">
        <w:rPr>
          <w:rFonts w:ascii="Franklin Gothic Book" w:eastAsia="Calibri" w:hAnsi="Franklin Gothic Book"/>
          <w:lang w:eastAsia="nb-NO" w:bidi="ar-SA"/>
        </w:rPr>
        <w:t xml:space="preserve">. Based on the review of accessible information, the </w:t>
      </w:r>
      <w:r w:rsidR="00625B47" w:rsidRPr="006C0E8F">
        <w:rPr>
          <w:rFonts w:ascii="Franklin Gothic Book" w:hAnsi="Franklin Gothic Book" w:cs="Calibri"/>
          <w:bCs/>
          <w:color w:val="00B0F0"/>
          <w:lang w:eastAsia="fr-FR" w:bidi="ar-SA"/>
        </w:rPr>
        <w:t>[</w:t>
      </w:r>
      <w:r w:rsidR="00C77C2E" w:rsidRPr="00C77C2E">
        <w:rPr>
          <w:rFonts w:ascii="Franklin Gothic Book" w:eastAsia="Calibri" w:hAnsi="Franklin Gothic Book"/>
          <w:color w:val="00B0F0"/>
          <w:lang w:eastAsia="nb-NO" w:bidi="ar-SA"/>
        </w:rPr>
        <w:t>MSG, national secretariat or consultant</w:t>
      </w:r>
      <w:r w:rsidR="00625B47" w:rsidRPr="006C0E8F">
        <w:rPr>
          <w:rFonts w:ascii="Franklin Gothic Book" w:hAnsi="Franklin Gothic Book" w:cs="Calibri"/>
          <w:bCs/>
          <w:color w:val="00B0F0"/>
          <w:lang w:eastAsia="fr-FR" w:bidi="ar-SA"/>
        </w:rPr>
        <w:t>]</w:t>
      </w:r>
      <w:r w:rsidR="00E43E05">
        <w:rPr>
          <w:rFonts w:ascii="Franklin Gothic Book" w:hAnsi="Franklin Gothic Book" w:cs="Calibri"/>
          <w:bCs/>
          <w:color w:val="00B0F0"/>
          <w:lang w:eastAsia="fr-FR" w:bidi="ar-SA"/>
        </w:rPr>
        <w:t xml:space="preserve"> </w:t>
      </w:r>
      <w:r w:rsidR="00C77C2E">
        <w:rPr>
          <w:rFonts w:ascii="Franklin Gothic Book" w:eastAsia="Calibri" w:hAnsi="Franklin Gothic Book"/>
          <w:lang w:eastAsia="nb-NO" w:bidi="ar-SA"/>
        </w:rPr>
        <w:t>should collect additional information from the reporting entities to address the</w:t>
      </w:r>
      <w:r w:rsidR="00C77C2E" w:rsidRPr="00C77C2E">
        <w:rPr>
          <w:rFonts w:ascii="Franklin Gothic Book" w:eastAsia="Calibri" w:hAnsi="Franklin Gothic Book"/>
          <w:lang w:eastAsia="nb-NO" w:bidi="ar-SA"/>
        </w:rPr>
        <w:t xml:space="preserve"> gaps</w:t>
      </w:r>
      <w:r w:rsidR="00C77C2E">
        <w:rPr>
          <w:rFonts w:ascii="Franklin Gothic Book" w:eastAsia="Calibri" w:hAnsi="Franklin Gothic Book"/>
          <w:lang w:eastAsia="nb-NO" w:bidi="ar-SA"/>
        </w:rPr>
        <w:t xml:space="preserve"> identified.</w:t>
      </w:r>
      <w:r w:rsidR="009829E0">
        <w:rPr>
          <w:rFonts w:ascii="Franklin Gothic Book" w:eastAsia="Calibri" w:hAnsi="Franklin Gothic Book"/>
          <w:lang w:eastAsia="nb-NO" w:bidi="ar-SA"/>
        </w:rPr>
        <w:t xml:space="preserve"> This could entail:</w:t>
      </w:r>
    </w:p>
    <w:p w14:paraId="65D1D56D" w14:textId="77777777" w:rsidR="001B331B" w:rsidRPr="001B331B" w:rsidRDefault="001B331B" w:rsidP="001B331B">
      <w:pPr>
        <w:pStyle w:val="ListParagraph"/>
        <w:shd w:val="clear" w:color="auto" w:fill="FFFFFF"/>
        <w:tabs>
          <w:tab w:val="left" w:pos="426"/>
          <w:tab w:val="left" w:pos="709"/>
        </w:tabs>
        <w:spacing w:before="240" w:after="240" w:line="240" w:lineRule="auto"/>
        <w:ind w:left="1440"/>
        <w:jc w:val="left"/>
        <w:rPr>
          <w:rFonts w:ascii="Franklin Gothic Book" w:hAnsi="Franklin Gothic Book" w:cs="Calibri"/>
          <w:lang w:bidi="ar-SA"/>
        </w:rPr>
      </w:pPr>
    </w:p>
    <w:p w14:paraId="6BB56749" w14:textId="667161E7" w:rsidR="001B331B" w:rsidRPr="001B331B" w:rsidRDefault="001B331B" w:rsidP="001B331B">
      <w:pPr>
        <w:pStyle w:val="ListParagraph"/>
        <w:numPr>
          <w:ilvl w:val="1"/>
          <w:numId w:val="34"/>
        </w:numPr>
        <w:shd w:val="clear" w:color="auto" w:fill="FFFFFF"/>
        <w:tabs>
          <w:tab w:val="left" w:pos="426"/>
          <w:tab w:val="left" w:pos="709"/>
        </w:tabs>
        <w:spacing w:before="240" w:after="240" w:line="240" w:lineRule="auto"/>
        <w:jc w:val="left"/>
        <w:rPr>
          <w:rFonts w:ascii="Franklin Gothic Book" w:hAnsi="Franklin Gothic Book" w:cs="Calibri"/>
          <w:lang w:bidi="ar-SA"/>
        </w:rPr>
      </w:pPr>
      <w:r w:rsidRPr="009829E0">
        <w:rPr>
          <w:rFonts w:ascii="Franklin Gothic Book" w:eastAsia="Calibri" w:hAnsi="Franklin Gothic Book"/>
          <w:bCs/>
          <w:u w:val="single"/>
          <w:lang w:eastAsia="nb-NO" w:bidi="ar-SA"/>
        </w:rPr>
        <w:t>Providing an overview of government agencies and/or companies that will be asked to provide information</w:t>
      </w:r>
      <w:r w:rsidRPr="001B331B">
        <w:rPr>
          <w:rFonts w:ascii="Franklin Gothic Book" w:eastAsia="Calibri" w:hAnsi="Franklin Gothic Book"/>
          <w:bCs/>
          <w:lang w:eastAsia="nb-NO" w:bidi="ar-SA"/>
        </w:rPr>
        <w:t xml:space="preserve"> listed in Table 1</w:t>
      </w:r>
      <w:r w:rsidRPr="001B331B">
        <w:rPr>
          <w:rFonts w:ascii="Franklin Gothic Book" w:eastAsia="Calibri" w:hAnsi="Franklin Gothic Book"/>
          <w:b/>
          <w:lang w:eastAsia="nb-NO" w:bidi="ar-SA"/>
        </w:rPr>
        <w:t xml:space="preserve">. </w:t>
      </w:r>
      <w:r w:rsidRPr="001B331B">
        <w:rPr>
          <w:rFonts w:ascii="Franklin Gothic Book" w:eastAsia="Calibri" w:hAnsi="Franklin Gothic Book"/>
          <w:bCs/>
          <w:lang w:eastAsia="nb-NO" w:bidi="ar-SA"/>
        </w:rPr>
        <w:t xml:space="preserve">This should include </w:t>
      </w:r>
      <w:r w:rsidRPr="001B331B">
        <w:rPr>
          <w:rFonts w:ascii="Franklin Gothic Book" w:hAnsi="Franklin Gothic Book" w:cs="Calibri"/>
          <w:lang w:bidi="ar-SA"/>
        </w:rPr>
        <w:t>government entities, including any SOEs and subnational government entities that receive payments which should be disclosed and in accordance with Requirement</w:t>
      </w:r>
      <w:r w:rsidR="0032590A">
        <w:rPr>
          <w:rFonts w:ascii="Franklin Gothic Book" w:hAnsi="Franklin Gothic Book" w:cs="Calibri"/>
          <w:lang w:bidi="ar-SA"/>
        </w:rPr>
        <w:t>s</w:t>
      </w:r>
      <w:r w:rsidRPr="001B331B">
        <w:rPr>
          <w:rFonts w:ascii="Franklin Gothic Book" w:hAnsi="Franklin Gothic Book" w:cs="Calibri"/>
          <w:lang w:bidi="ar-SA"/>
        </w:rPr>
        <w:t xml:space="preserve"> 4.1, 4.5 and 4.6.</w:t>
      </w:r>
      <w:r w:rsidR="0032590A">
        <w:rPr>
          <w:rFonts w:ascii="Franklin Gothic Book" w:hAnsi="Franklin Gothic Book" w:cs="Calibri"/>
          <w:lang w:bidi="ar-SA"/>
        </w:rPr>
        <w:t>,</w:t>
      </w:r>
      <w:r w:rsidRPr="00A626FF">
        <w:rPr>
          <w:rFonts w:ascii="Franklin Gothic Book" w:hAnsi="Franklin Gothic Book" w:cs="Calibri"/>
          <w:lang w:bidi="ar-SA"/>
        </w:rPr>
        <w:t>companies</w:t>
      </w:r>
      <w:r w:rsidR="0032590A">
        <w:rPr>
          <w:rFonts w:ascii="Franklin Gothic Book" w:hAnsi="Franklin Gothic Book" w:cs="Calibri"/>
          <w:lang w:bidi="ar-SA"/>
        </w:rPr>
        <w:t>,</w:t>
      </w:r>
      <w:r w:rsidRPr="00A626FF">
        <w:rPr>
          <w:rFonts w:ascii="Franklin Gothic Book" w:hAnsi="Franklin Gothic Book" w:cs="Calibri"/>
          <w:lang w:bidi="ar-SA"/>
        </w:rPr>
        <w:t xml:space="preserve"> including SOEs, make material payments to the state and will be required to report</w:t>
      </w:r>
      <w:r w:rsidR="004B58E3">
        <w:rPr>
          <w:rFonts w:ascii="Franklin Gothic Book" w:hAnsi="Franklin Gothic Book" w:cs="Calibri"/>
          <w:lang w:bidi="ar-SA"/>
        </w:rPr>
        <w:t>,</w:t>
      </w:r>
      <w:r w:rsidR="009829E0">
        <w:rPr>
          <w:rFonts w:ascii="Franklin Gothic Book" w:eastAsia="Calibri" w:hAnsi="Franklin Gothic Book"/>
          <w:bCs/>
          <w:lang w:eastAsia="nb-NO" w:bidi="ar-SA"/>
        </w:rPr>
        <w:t xml:space="preserve"> </w:t>
      </w:r>
      <w:r w:rsidR="004B58E3">
        <w:rPr>
          <w:rFonts w:ascii="Franklin Gothic Book" w:eastAsia="Calibri" w:hAnsi="Franklin Gothic Book"/>
          <w:bCs/>
          <w:lang w:eastAsia="nb-NO" w:bidi="ar-SA"/>
        </w:rPr>
        <w:t>t</w:t>
      </w:r>
      <w:r w:rsidR="009829E0">
        <w:rPr>
          <w:rFonts w:ascii="Franklin Gothic Book" w:eastAsia="Calibri" w:hAnsi="Franklin Gothic Book"/>
          <w:bCs/>
          <w:lang w:eastAsia="nb-NO" w:bidi="ar-SA"/>
        </w:rPr>
        <w:t xml:space="preserve">he EITI </w:t>
      </w:r>
      <w:r w:rsidR="005941C4">
        <w:rPr>
          <w:rFonts w:ascii="Franklin Gothic Book" w:eastAsia="Calibri" w:hAnsi="Franklin Gothic Book"/>
          <w:bCs/>
          <w:lang w:eastAsia="nb-NO" w:bidi="ar-SA"/>
        </w:rPr>
        <w:t xml:space="preserve">Validation data collection template on Transparency, which is consistent with the </w:t>
      </w:r>
      <w:r w:rsidR="009829E0">
        <w:rPr>
          <w:rFonts w:ascii="Franklin Gothic Book" w:eastAsia="Calibri" w:hAnsi="Franklin Gothic Book"/>
          <w:bCs/>
          <w:lang w:eastAsia="nb-NO" w:bidi="ar-SA"/>
        </w:rPr>
        <w:t xml:space="preserve">summary data </w:t>
      </w:r>
      <w:r w:rsidR="003A6E94">
        <w:rPr>
          <w:rFonts w:ascii="Franklin Gothic Book" w:eastAsia="Calibri" w:hAnsi="Franklin Gothic Book"/>
          <w:bCs/>
          <w:lang w:eastAsia="nb-NO" w:bidi="ar-SA"/>
        </w:rPr>
        <w:t>template (Parts 3</w:t>
      </w:r>
      <w:r w:rsidR="00045305">
        <w:rPr>
          <w:rFonts w:ascii="Franklin Gothic Book" w:eastAsia="Calibri" w:hAnsi="Franklin Gothic Book"/>
          <w:bCs/>
          <w:lang w:eastAsia="nb-NO" w:bidi="ar-SA"/>
        </w:rPr>
        <w:t>,</w:t>
      </w:r>
      <w:r w:rsidR="003A6E94">
        <w:rPr>
          <w:rFonts w:ascii="Franklin Gothic Book" w:eastAsia="Calibri" w:hAnsi="Franklin Gothic Book"/>
          <w:bCs/>
          <w:lang w:eastAsia="nb-NO" w:bidi="ar-SA"/>
        </w:rPr>
        <w:t xml:space="preserve"> 4</w:t>
      </w:r>
      <w:r w:rsidR="00045305">
        <w:rPr>
          <w:rFonts w:ascii="Franklin Gothic Book" w:eastAsia="Calibri" w:hAnsi="Franklin Gothic Book"/>
          <w:bCs/>
          <w:lang w:eastAsia="nb-NO" w:bidi="ar-SA"/>
        </w:rPr>
        <w:t xml:space="preserve"> and 5</w:t>
      </w:r>
      <w:r w:rsidR="003A6E94">
        <w:rPr>
          <w:rFonts w:ascii="Franklin Gothic Book" w:eastAsia="Calibri" w:hAnsi="Franklin Gothic Book"/>
          <w:bCs/>
          <w:lang w:eastAsia="nb-NO" w:bidi="ar-SA"/>
        </w:rPr>
        <w:t>)</w:t>
      </w:r>
      <w:r w:rsidR="005941C4">
        <w:rPr>
          <w:rFonts w:ascii="Franklin Gothic Book" w:eastAsia="Calibri" w:hAnsi="Franklin Gothic Book"/>
          <w:bCs/>
          <w:lang w:eastAsia="nb-NO" w:bidi="ar-SA"/>
        </w:rPr>
        <w:t>,</w:t>
      </w:r>
      <w:r w:rsidR="003A6E94">
        <w:rPr>
          <w:rFonts w:ascii="Franklin Gothic Book" w:eastAsia="Calibri" w:hAnsi="Franklin Gothic Book"/>
          <w:bCs/>
          <w:lang w:eastAsia="nb-NO" w:bidi="ar-SA"/>
        </w:rPr>
        <w:t xml:space="preserve"> </w:t>
      </w:r>
      <w:r w:rsidR="004B58E3">
        <w:rPr>
          <w:rFonts w:ascii="Franklin Gothic Book" w:eastAsia="Calibri" w:hAnsi="Franklin Gothic Book"/>
          <w:bCs/>
          <w:lang w:eastAsia="nb-NO" w:bidi="ar-SA"/>
        </w:rPr>
        <w:t>is</w:t>
      </w:r>
      <w:r w:rsidR="003A6E94">
        <w:rPr>
          <w:rFonts w:ascii="Franklin Gothic Book" w:eastAsia="Calibri" w:hAnsi="Franklin Gothic Book"/>
          <w:bCs/>
          <w:lang w:eastAsia="nb-NO" w:bidi="ar-SA"/>
        </w:rPr>
        <w:t xml:space="preserve"> a useful tool to list reporting entities</w:t>
      </w:r>
      <w:r w:rsidR="00643C03">
        <w:rPr>
          <w:rFonts w:ascii="Franklin Gothic Book" w:eastAsia="Calibri" w:hAnsi="Franklin Gothic Book"/>
          <w:bCs/>
          <w:lang w:eastAsia="nb-NO" w:bidi="ar-SA"/>
        </w:rPr>
        <w:t xml:space="preserve"> and government revenues from them</w:t>
      </w:r>
      <w:r w:rsidR="003A6E94">
        <w:rPr>
          <w:rFonts w:ascii="Franklin Gothic Book" w:eastAsia="Calibri" w:hAnsi="Franklin Gothic Book"/>
          <w:bCs/>
          <w:lang w:eastAsia="nb-NO" w:bidi="ar-SA"/>
        </w:rPr>
        <w:t>.</w:t>
      </w:r>
      <w:r w:rsidR="009829E0">
        <w:rPr>
          <w:rStyle w:val="FootnoteReference"/>
          <w:rFonts w:ascii="Franklin Gothic Book" w:eastAsia="Calibri" w:hAnsi="Franklin Gothic Book"/>
          <w:bCs/>
          <w:lang w:eastAsia="nb-NO" w:bidi="ar-SA"/>
        </w:rPr>
        <w:footnoteReference w:id="12"/>
      </w:r>
      <w:r w:rsidRPr="001B331B">
        <w:rPr>
          <w:rFonts w:ascii="Franklin Gothic Book" w:eastAsia="Calibri" w:hAnsi="Franklin Gothic Book"/>
          <w:bCs/>
          <w:lang w:eastAsia="nb-NO" w:bidi="ar-SA"/>
        </w:rPr>
        <w:t xml:space="preserve"> </w:t>
      </w:r>
    </w:p>
    <w:p w14:paraId="5BB67436" w14:textId="2CC322B7" w:rsidR="003A6E94" w:rsidRPr="00643C03" w:rsidRDefault="00D540CE" w:rsidP="003A6E94">
      <w:pPr>
        <w:pStyle w:val="ListParagraph"/>
        <w:numPr>
          <w:ilvl w:val="1"/>
          <w:numId w:val="34"/>
        </w:numPr>
        <w:shd w:val="clear" w:color="auto" w:fill="FFFFFF"/>
        <w:tabs>
          <w:tab w:val="left" w:pos="426"/>
          <w:tab w:val="left" w:pos="709"/>
        </w:tabs>
        <w:spacing w:before="240" w:after="240" w:line="240" w:lineRule="auto"/>
        <w:jc w:val="left"/>
        <w:rPr>
          <w:rFonts w:ascii="Franklin Gothic Book" w:hAnsi="Franklin Gothic Book" w:cs="Calibri"/>
          <w:lang w:bidi="ar-SA"/>
        </w:rPr>
      </w:pPr>
      <w:r w:rsidRPr="00A626FF">
        <w:rPr>
          <w:rFonts w:ascii="Franklin Gothic Book" w:eastAsia="Calibri" w:hAnsi="Franklin Gothic Book"/>
          <w:bCs/>
          <w:u w:val="single"/>
          <w:lang w:eastAsia="nb-NO" w:bidi="ar-SA"/>
        </w:rPr>
        <w:t>Design</w:t>
      </w:r>
      <w:r w:rsidR="009829E0" w:rsidRPr="00A626FF">
        <w:rPr>
          <w:rFonts w:ascii="Franklin Gothic Book" w:eastAsia="Calibri" w:hAnsi="Franklin Gothic Book"/>
          <w:bCs/>
          <w:u w:val="single"/>
          <w:lang w:eastAsia="nb-NO" w:bidi="ar-SA"/>
        </w:rPr>
        <w:t>ing</w:t>
      </w:r>
      <w:r w:rsidRPr="00A626FF">
        <w:rPr>
          <w:rFonts w:ascii="Franklin Gothic Book" w:eastAsia="Calibri" w:hAnsi="Franklin Gothic Book"/>
          <w:bCs/>
          <w:u w:val="single"/>
          <w:lang w:eastAsia="nb-NO" w:bidi="ar-SA"/>
        </w:rPr>
        <w:t xml:space="preserve"> reporting templates</w:t>
      </w:r>
      <w:r w:rsidR="002207F5">
        <w:rPr>
          <w:rFonts w:ascii="Franklin Gothic Book" w:eastAsia="Calibri" w:hAnsi="Franklin Gothic Book"/>
          <w:bCs/>
          <w:u w:val="single"/>
          <w:lang w:eastAsia="nb-NO" w:bidi="ar-SA"/>
        </w:rPr>
        <w:t xml:space="preserve"> </w:t>
      </w:r>
      <w:r w:rsidR="002207F5" w:rsidRPr="00C97685">
        <w:rPr>
          <w:rFonts w:ascii="Franklin Gothic Book" w:eastAsia="Calibri" w:hAnsi="Franklin Gothic Book"/>
          <w:lang w:eastAsia="nb-NO" w:bidi="ar-SA"/>
        </w:rPr>
        <w:t xml:space="preserve">to collect any additional information </w:t>
      </w:r>
      <w:r w:rsidR="002207F5">
        <w:rPr>
          <w:rFonts w:ascii="Franklin Gothic Book" w:eastAsia="Calibri" w:hAnsi="Franklin Gothic Book"/>
          <w:lang w:eastAsia="nb-NO" w:bidi="ar-SA"/>
        </w:rPr>
        <w:t xml:space="preserve">that has not already been </w:t>
      </w:r>
      <w:r w:rsidR="002207F5" w:rsidRPr="00C97685">
        <w:rPr>
          <w:rFonts w:ascii="Franklin Gothic Book" w:eastAsia="Calibri" w:hAnsi="Franklin Gothic Book"/>
          <w:lang w:eastAsia="nb-NO" w:bidi="ar-SA"/>
        </w:rPr>
        <w:t>publicly disclosed for the year under reporting</w:t>
      </w:r>
      <w:r w:rsidRPr="00A626FF">
        <w:rPr>
          <w:rFonts w:ascii="Franklin Gothic Book" w:eastAsia="Calibri" w:hAnsi="Franklin Gothic Book"/>
          <w:bCs/>
          <w:u w:val="single"/>
          <w:lang w:eastAsia="nb-NO" w:bidi="ar-SA"/>
        </w:rPr>
        <w:t>.</w:t>
      </w:r>
      <w:r w:rsidRPr="009829E0">
        <w:rPr>
          <w:rFonts w:ascii="Franklin Gothic Book" w:eastAsia="Calibri" w:hAnsi="Franklin Gothic Book"/>
          <w:bCs/>
          <w:lang w:eastAsia="nb-NO" w:bidi="ar-SA"/>
        </w:rPr>
        <w:t xml:space="preserve"> </w:t>
      </w:r>
      <w:r w:rsidR="003A6E94">
        <w:rPr>
          <w:rFonts w:ascii="Franklin Gothic Book" w:eastAsia="Calibri" w:hAnsi="Franklin Gothic Book"/>
          <w:bCs/>
          <w:lang w:eastAsia="nb-NO" w:bidi="ar-SA"/>
        </w:rPr>
        <w:t xml:space="preserve">Reporting templates can be designed to collect financial and non-financial information, to collect data from either government entities, SOEs and/or companies. </w:t>
      </w:r>
      <w:r w:rsidRPr="003A6E94">
        <w:rPr>
          <w:rFonts w:ascii="Franklin Gothic Book" w:eastAsia="Calibri" w:hAnsi="Franklin Gothic Book" w:cstheme="minorHAnsi"/>
          <w:lang w:eastAsia="nb-NO"/>
        </w:rPr>
        <w:t xml:space="preserve">The </w:t>
      </w:r>
      <w:r w:rsidR="00016703">
        <w:rPr>
          <w:rFonts w:ascii="Franklin Gothic Book" w:eastAsia="Calibri" w:hAnsi="Franklin Gothic Book"/>
          <w:color w:val="00B0F0"/>
          <w:lang w:eastAsia="nb-NO" w:bidi="ar-SA"/>
        </w:rPr>
        <w:t>[</w:t>
      </w:r>
      <w:r w:rsidR="00A626FF" w:rsidRPr="003A6E94">
        <w:rPr>
          <w:rFonts w:ascii="Franklin Gothic Book" w:eastAsia="Calibri" w:hAnsi="Franklin Gothic Book"/>
          <w:color w:val="00B0F0"/>
          <w:lang w:eastAsia="nb-NO" w:bidi="ar-SA"/>
        </w:rPr>
        <w:t>MSG, national secretariat or consultant</w:t>
      </w:r>
      <w:r w:rsidR="00016703">
        <w:rPr>
          <w:rFonts w:ascii="Franklin Gothic Book" w:eastAsia="Calibri" w:hAnsi="Franklin Gothic Book"/>
          <w:color w:val="00B0F0"/>
          <w:lang w:eastAsia="nb-NO" w:bidi="ar-SA"/>
        </w:rPr>
        <w:t>]</w:t>
      </w:r>
      <w:r w:rsidR="00A626FF">
        <w:rPr>
          <w:rFonts w:ascii="Franklin Gothic Book" w:eastAsia="Calibri" w:hAnsi="Franklin Gothic Book" w:cs="Calibri"/>
          <w:color w:val="00B0F0"/>
          <w:lang w:eastAsia="fr-FR" w:bidi="ar-SA"/>
        </w:rPr>
        <w:t xml:space="preserve"> </w:t>
      </w:r>
      <w:r w:rsidR="00A626FF" w:rsidRPr="003A6E94">
        <w:rPr>
          <w:rFonts w:ascii="Franklin Gothic Book" w:eastAsia="Calibri" w:hAnsi="Franklin Gothic Book"/>
          <w:lang w:eastAsia="nb-NO" w:bidi="ar-SA"/>
        </w:rPr>
        <w:t>can</w:t>
      </w:r>
      <w:r w:rsidRPr="003A6E94">
        <w:rPr>
          <w:rFonts w:ascii="Franklin Gothic Book" w:eastAsia="Calibri" w:hAnsi="Franklin Gothic Book" w:cstheme="minorHAnsi"/>
          <w:lang w:eastAsia="nb-NO"/>
        </w:rPr>
        <w:t xml:space="preserve"> draft the templates for the MSG’s approval.</w:t>
      </w:r>
      <w:r w:rsidR="003A6E94">
        <w:rPr>
          <w:rFonts w:ascii="Franklin Gothic Book" w:eastAsia="Calibri" w:hAnsi="Franklin Gothic Book" w:cstheme="minorHAnsi"/>
          <w:lang w:eastAsia="nb-NO"/>
        </w:rPr>
        <w:t xml:space="preserve"> </w:t>
      </w:r>
      <w:r w:rsidR="003A6E94" w:rsidRPr="00643C03">
        <w:rPr>
          <w:rFonts w:ascii="Franklin Gothic Book" w:eastAsia="Calibri" w:hAnsi="Franklin Gothic Book"/>
          <w:lang w:eastAsia="nb-NO" w:bidi="ar-SA"/>
        </w:rPr>
        <w:t xml:space="preserve">The </w:t>
      </w:r>
      <w:r w:rsidRPr="00643C03">
        <w:rPr>
          <w:rFonts w:ascii="Franklin Gothic Book" w:eastAsia="Calibri" w:hAnsi="Franklin Gothic Book"/>
          <w:lang w:eastAsia="nb-NO" w:bidi="ar-SA"/>
        </w:rPr>
        <w:t>International Secretariat</w:t>
      </w:r>
      <w:r w:rsidR="003A6E94">
        <w:rPr>
          <w:rFonts w:ascii="Franklin Gothic Book" w:eastAsia="Calibri" w:hAnsi="Franklin Gothic Book"/>
          <w:lang w:eastAsia="nb-NO" w:bidi="ar-SA"/>
        </w:rPr>
        <w:t xml:space="preserve"> is available to provide support on designing reporting templates.</w:t>
      </w:r>
    </w:p>
    <w:p w14:paraId="73EC5084" w14:textId="2E97640C" w:rsidR="002207F5" w:rsidRPr="00643C03" w:rsidRDefault="002207F5" w:rsidP="00AE40B1">
      <w:pPr>
        <w:pStyle w:val="ListParagraph"/>
        <w:numPr>
          <w:ilvl w:val="1"/>
          <w:numId w:val="34"/>
        </w:numPr>
        <w:shd w:val="clear" w:color="auto" w:fill="FFFFFF"/>
        <w:tabs>
          <w:tab w:val="left" w:pos="426"/>
          <w:tab w:val="left" w:pos="709"/>
        </w:tabs>
        <w:spacing w:before="240" w:after="240" w:line="240" w:lineRule="auto"/>
        <w:jc w:val="left"/>
        <w:rPr>
          <w:rFonts w:ascii="Franklin Gothic Book" w:hAnsi="Franklin Gothic Book" w:cs="Calibri"/>
          <w:lang w:bidi="ar-SA"/>
        </w:rPr>
      </w:pPr>
      <w:r w:rsidRPr="0046156F">
        <w:rPr>
          <w:rFonts w:ascii="Franklin Gothic Book" w:hAnsi="Franklin Gothic Book" w:cs="Calibri"/>
          <w:u w:val="single"/>
          <w:lang w:bidi="ar-SA"/>
        </w:rPr>
        <w:t xml:space="preserve">Agree the </w:t>
      </w:r>
      <w:r w:rsidRPr="0046156F">
        <w:rPr>
          <w:rFonts w:ascii="Franklin Gothic Book" w:eastAsia="Calibri" w:hAnsi="Franklin Gothic Book"/>
          <w:u w:val="single"/>
          <w:lang w:eastAsia="nb-NO" w:bidi="ar-SA"/>
        </w:rPr>
        <w:t>procedures for collecting this information</w:t>
      </w:r>
      <w:r>
        <w:rPr>
          <w:rFonts w:ascii="Franklin Gothic Book" w:eastAsia="Calibri" w:hAnsi="Franklin Gothic Book"/>
          <w:lang w:eastAsia="nb-NO" w:bidi="ar-SA"/>
        </w:rPr>
        <w:t xml:space="preserve"> including, where needed, waivers to address confidentiality constraints and/or </w:t>
      </w:r>
      <w:r w:rsidRPr="002207F5">
        <w:rPr>
          <w:rFonts w:ascii="Franklin Gothic Book" w:eastAsia="Calibri" w:hAnsi="Franklin Gothic Book"/>
          <w:lang w:eastAsia="nb-NO" w:bidi="ar-SA"/>
        </w:rPr>
        <w:t>provisions relating to safeguarding confidential information</w:t>
      </w:r>
      <w:r>
        <w:rPr>
          <w:rFonts w:ascii="Franklin Gothic Book" w:eastAsia="Calibri" w:hAnsi="Franklin Gothic Book"/>
          <w:lang w:eastAsia="nb-NO" w:bidi="ar-SA"/>
        </w:rPr>
        <w:t xml:space="preserve"> prior to the publication of the EITI Report. </w:t>
      </w:r>
      <w:r w:rsidRPr="00DC0DFE">
        <w:rPr>
          <w:rFonts w:ascii="Franklin Gothic Book" w:eastAsia="Calibri" w:hAnsi="Franklin Gothic Book"/>
          <w:lang w:eastAsia="nb-NO" w:bidi="ar-SA"/>
        </w:rPr>
        <w:t>The International Secretariat</w:t>
      </w:r>
      <w:r>
        <w:rPr>
          <w:rFonts w:ascii="Franklin Gothic Book" w:eastAsia="Calibri" w:hAnsi="Franklin Gothic Book"/>
          <w:lang w:eastAsia="nb-NO" w:bidi="ar-SA"/>
        </w:rPr>
        <w:t xml:space="preserve"> is available to provide support on designing these procedures. </w:t>
      </w:r>
    </w:p>
    <w:p w14:paraId="41C24EF8" w14:textId="77777777" w:rsidR="00AE40B1" w:rsidRPr="00AE40B1" w:rsidRDefault="00D540CE" w:rsidP="00AE40B1">
      <w:pPr>
        <w:pStyle w:val="ListParagraph"/>
        <w:numPr>
          <w:ilvl w:val="1"/>
          <w:numId w:val="34"/>
        </w:numPr>
        <w:shd w:val="clear" w:color="auto" w:fill="FFFFFF"/>
        <w:tabs>
          <w:tab w:val="left" w:pos="426"/>
          <w:tab w:val="left" w:pos="709"/>
        </w:tabs>
        <w:spacing w:before="240" w:after="240" w:line="240" w:lineRule="auto"/>
        <w:jc w:val="left"/>
        <w:rPr>
          <w:rFonts w:ascii="Franklin Gothic Book" w:hAnsi="Franklin Gothic Book" w:cs="Calibri"/>
          <w:lang w:bidi="ar-SA"/>
        </w:rPr>
      </w:pPr>
      <w:r w:rsidRPr="00643C03">
        <w:rPr>
          <w:rFonts w:ascii="Franklin Gothic Book" w:eastAsia="Calibri" w:hAnsi="Franklin Gothic Book"/>
          <w:u w:val="single"/>
          <w:lang w:eastAsia="nb-NO" w:bidi="ar-SA"/>
        </w:rPr>
        <w:t>Distribute the reporting templates and collect the completed forms</w:t>
      </w:r>
      <w:r w:rsidRPr="00643C03">
        <w:rPr>
          <w:rFonts w:ascii="Franklin Gothic Book" w:eastAsia="Calibri" w:hAnsi="Franklin Gothic Book"/>
          <w:lang w:eastAsia="nb-NO" w:bidi="ar-SA"/>
        </w:rPr>
        <w:t xml:space="preserve"> and associated supporting documentation directly from the participating reporting entities, as well as any other information that the MSG has </w:t>
      </w:r>
      <w:r w:rsidR="00AE40B1" w:rsidRPr="00AE40B1">
        <w:rPr>
          <w:rFonts w:ascii="Franklin Gothic Book" w:eastAsia="Calibri" w:hAnsi="Franklin Gothic Book"/>
          <w:lang w:eastAsia="nb-NO" w:bidi="ar-SA"/>
        </w:rPr>
        <w:t>agreed to collect in Table 1</w:t>
      </w:r>
      <w:r w:rsidRPr="00643C03">
        <w:rPr>
          <w:rFonts w:ascii="Franklin Gothic Book" w:eastAsia="Calibri" w:hAnsi="Franklin Gothic Book"/>
          <w:lang w:eastAsia="nb-NO" w:bidi="ar-SA"/>
        </w:rPr>
        <w:t>.</w:t>
      </w:r>
      <w:r w:rsidRPr="00643C03">
        <w:rPr>
          <w:rFonts w:ascii="Franklin Gothic Book" w:eastAsia="Calibri" w:hAnsi="Franklin Gothic Book"/>
          <w:color w:val="0070C0"/>
          <w:lang w:eastAsia="nb-NO" w:bidi="ar-SA"/>
        </w:rPr>
        <w:t xml:space="preserve"> </w:t>
      </w:r>
    </w:p>
    <w:p w14:paraId="086E200F" w14:textId="6FE866F2" w:rsidR="00D540CE" w:rsidRPr="00AE40B1" w:rsidRDefault="00D540CE" w:rsidP="00AE40B1">
      <w:pPr>
        <w:pStyle w:val="ListParagraph"/>
        <w:numPr>
          <w:ilvl w:val="1"/>
          <w:numId w:val="34"/>
        </w:numPr>
        <w:shd w:val="clear" w:color="auto" w:fill="FFFFFF"/>
        <w:tabs>
          <w:tab w:val="left" w:pos="426"/>
          <w:tab w:val="left" w:pos="709"/>
        </w:tabs>
        <w:spacing w:before="240" w:after="240" w:line="240" w:lineRule="auto"/>
        <w:jc w:val="left"/>
        <w:rPr>
          <w:rFonts w:ascii="Franklin Gothic Book" w:hAnsi="Franklin Gothic Book" w:cs="Calibri"/>
          <w:lang w:bidi="ar-SA"/>
        </w:rPr>
      </w:pPr>
      <w:r w:rsidRPr="00643C03">
        <w:rPr>
          <w:rFonts w:ascii="Franklin Gothic Book" w:eastAsia="Calibri" w:hAnsi="Franklin Gothic Book"/>
          <w:u w:val="single"/>
          <w:lang w:eastAsia="nb-NO" w:bidi="ar-SA"/>
        </w:rPr>
        <w:t>Contact the reporting entities directly</w:t>
      </w:r>
      <w:r w:rsidRPr="00643C03">
        <w:rPr>
          <w:rFonts w:ascii="Franklin Gothic Book" w:eastAsia="Calibri" w:hAnsi="Franklin Gothic Book"/>
          <w:lang w:eastAsia="nb-NO" w:bidi="ar-SA"/>
        </w:rPr>
        <w:t xml:space="preserve"> to clarify any information gaps or discrepancies.</w:t>
      </w:r>
    </w:p>
    <w:p w14:paraId="1CBEB06D" w14:textId="77777777" w:rsidR="003A6E94" w:rsidRPr="00643C03" w:rsidRDefault="003A6E94" w:rsidP="003A6E94">
      <w:pPr>
        <w:pStyle w:val="ListParagraph"/>
        <w:shd w:val="clear" w:color="auto" w:fill="FFFFFF"/>
        <w:tabs>
          <w:tab w:val="left" w:pos="426"/>
          <w:tab w:val="left" w:pos="709"/>
        </w:tabs>
        <w:spacing w:before="240" w:after="240" w:line="240" w:lineRule="auto"/>
        <w:ind w:left="1440"/>
        <w:jc w:val="left"/>
        <w:rPr>
          <w:rFonts w:ascii="Franklin Gothic Book" w:hAnsi="Franklin Gothic Book" w:cs="Calibri"/>
          <w:highlight w:val="yellow"/>
          <w:lang w:bidi="ar-SA"/>
        </w:rPr>
      </w:pPr>
    </w:p>
    <w:p w14:paraId="73C62235" w14:textId="0B5DC6E0" w:rsidR="00492549" w:rsidRDefault="00D145EC" w:rsidP="00E010FF">
      <w:pPr>
        <w:shd w:val="clear" w:color="auto" w:fill="FFFFFF"/>
        <w:tabs>
          <w:tab w:val="left" w:pos="426"/>
          <w:tab w:val="left" w:pos="709"/>
        </w:tabs>
        <w:spacing w:before="240" w:after="240" w:line="240" w:lineRule="auto"/>
        <w:jc w:val="left"/>
        <w:rPr>
          <w:rFonts w:ascii="Franklin Gothic Book" w:eastAsia="Calibri" w:hAnsi="Franklin Gothic Book"/>
          <w:lang w:eastAsia="nb-NO" w:bidi="ar-SA"/>
        </w:rPr>
      </w:pPr>
      <w:r w:rsidRPr="00C97685">
        <w:rPr>
          <w:rFonts w:ascii="Franklin Gothic Book" w:eastAsia="Calibri" w:hAnsi="Franklin Gothic Book"/>
          <w:b/>
          <w:bCs/>
          <w:lang w:eastAsia="nb-NO" w:bidi="ar-SA"/>
        </w:rPr>
        <w:t xml:space="preserve">Phase </w:t>
      </w:r>
      <w:r w:rsidR="009900EF" w:rsidRPr="00C97685">
        <w:rPr>
          <w:rFonts w:ascii="Franklin Gothic Book" w:eastAsia="Calibri" w:hAnsi="Franklin Gothic Book"/>
          <w:b/>
          <w:bCs/>
          <w:lang w:eastAsia="nb-NO" w:bidi="ar-SA"/>
        </w:rPr>
        <w:t>4</w:t>
      </w:r>
      <w:r w:rsidRPr="00C97685">
        <w:rPr>
          <w:rFonts w:ascii="Franklin Gothic Book" w:eastAsia="Calibri" w:hAnsi="Franklin Gothic Book"/>
          <w:b/>
          <w:bCs/>
          <w:lang w:eastAsia="nb-NO" w:bidi="ar-SA"/>
        </w:rPr>
        <w:t xml:space="preserve">: </w:t>
      </w:r>
      <w:r w:rsidR="009900EF" w:rsidRPr="00C97685">
        <w:rPr>
          <w:rFonts w:ascii="Franklin Gothic Book" w:eastAsia="Calibri" w:hAnsi="Franklin Gothic Book"/>
          <w:b/>
          <w:bCs/>
          <w:lang w:eastAsia="nb-NO" w:bidi="ar-SA"/>
        </w:rPr>
        <w:t>Analysis and d</w:t>
      </w:r>
      <w:r w:rsidRPr="00C97685">
        <w:rPr>
          <w:rFonts w:ascii="Franklin Gothic Book" w:eastAsia="Calibri" w:hAnsi="Franklin Gothic Book"/>
          <w:b/>
          <w:bCs/>
          <w:lang w:eastAsia="nb-NO" w:bidi="ar-SA"/>
        </w:rPr>
        <w:t>raft report</w:t>
      </w:r>
      <w:r w:rsidR="00492549">
        <w:rPr>
          <w:rFonts w:ascii="Franklin Gothic Book" w:eastAsia="Calibri" w:hAnsi="Franklin Gothic Book"/>
          <w:b/>
          <w:bCs/>
          <w:lang w:eastAsia="nb-NO" w:bidi="ar-SA"/>
        </w:rPr>
        <w:t xml:space="preserve">. </w:t>
      </w:r>
      <w:r w:rsidR="007B601D" w:rsidRPr="00C97685">
        <w:rPr>
          <w:rFonts w:ascii="Franklin Gothic Book" w:eastAsia="Calibri" w:hAnsi="Franklin Gothic Book"/>
          <w:lang w:eastAsia="nb-NO" w:bidi="ar-SA"/>
        </w:rPr>
        <w:t>The purpose of th</w:t>
      </w:r>
      <w:r w:rsidR="007B601D">
        <w:rPr>
          <w:rFonts w:ascii="Franklin Gothic Book" w:eastAsia="Calibri" w:hAnsi="Franklin Gothic Book"/>
          <w:lang w:eastAsia="nb-NO" w:bidi="ar-SA"/>
        </w:rPr>
        <w:t xml:space="preserve">is </w:t>
      </w:r>
      <w:r w:rsidR="007B601D" w:rsidRPr="00C97685">
        <w:rPr>
          <w:rFonts w:ascii="Franklin Gothic Book" w:eastAsia="Calibri" w:hAnsi="Franklin Gothic Book"/>
          <w:lang w:eastAsia="nb-NO" w:bidi="ar-SA"/>
        </w:rPr>
        <w:t xml:space="preserve">phase is to first </w:t>
      </w:r>
      <w:r w:rsidR="007B601D">
        <w:rPr>
          <w:rFonts w:ascii="Franklin Gothic Book" w:eastAsia="Calibri" w:hAnsi="Franklin Gothic Book"/>
          <w:lang w:eastAsia="nb-NO" w:bidi="ar-SA"/>
        </w:rPr>
        <w:t>analyse the information collected in accordance with the objectives set for reporting in Phase 1 and as set out by the MSG in Table 1</w:t>
      </w:r>
      <w:r w:rsidR="00E8142A">
        <w:rPr>
          <w:rFonts w:ascii="Franklin Gothic Book" w:eastAsia="Calibri" w:hAnsi="Franklin Gothic Book"/>
          <w:lang w:eastAsia="nb-NO" w:bidi="ar-SA"/>
        </w:rPr>
        <w:t xml:space="preserve"> and review the comprehensiveness and reliability of the data, and then to draft a report for the MSGs input.</w:t>
      </w:r>
    </w:p>
    <w:p w14:paraId="5B54E77E" w14:textId="7F93C1F5" w:rsidR="004302B0" w:rsidRPr="00C77C2E" w:rsidRDefault="00C77C2E" w:rsidP="00C77C2E">
      <w:pPr>
        <w:pStyle w:val="ListParagraph"/>
        <w:numPr>
          <w:ilvl w:val="0"/>
          <w:numId w:val="42"/>
        </w:numPr>
        <w:shd w:val="clear" w:color="auto" w:fill="FFFFFF"/>
        <w:tabs>
          <w:tab w:val="left" w:pos="426"/>
          <w:tab w:val="left" w:pos="709"/>
        </w:tabs>
        <w:spacing w:before="240" w:after="240" w:line="240" w:lineRule="auto"/>
        <w:ind w:left="697" w:hanging="340"/>
        <w:jc w:val="left"/>
        <w:rPr>
          <w:rFonts w:ascii="Franklin Gothic Book" w:eastAsia="Calibri" w:hAnsi="Franklin Gothic Book"/>
          <w:b/>
          <w:bCs/>
          <w:color w:val="FF0000"/>
          <w:lang w:eastAsia="nb-NO" w:bidi="ar-SA"/>
        </w:rPr>
      </w:pPr>
      <w:r>
        <w:rPr>
          <w:rFonts w:ascii="Franklin Gothic Book" w:eastAsia="Calibri" w:hAnsi="Franklin Gothic Book"/>
          <w:b/>
          <w:bCs/>
          <w:lang w:eastAsia="nb-NO" w:bidi="ar-SA"/>
        </w:rPr>
        <w:t>Analyse the data collected</w:t>
      </w:r>
      <w:r w:rsidRPr="00C77C2E">
        <w:rPr>
          <w:rFonts w:ascii="Franklin Gothic Book" w:eastAsia="Calibri" w:hAnsi="Franklin Gothic Book"/>
          <w:b/>
          <w:bCs/>
          <w:lang w:eastAsia="nb-NO" w:bidi="ar-SA"/>
        </w:rPr>
        <w:t xml:space="preserve">. </w:t>
      </w:r>
      <w:r>
        <w:rPr>
          <w:rFonts w:ascii="Franklin Gothic Book" w:eastAsia="Calibri" w:hAnsi="Franklin Gothic Book"/>
          <w:lang w:eastAsia="nb-NO" w:bidi="ar-SA"/>
        </w:rPr>
        <w:t xml:space="preserve">In accordance with the objectives set by the MSG for the reporting and as set out in Table 1, the </w:t>
      </w:r>
      <w:r w:rsidR="00900C31" w:rsidRPr="006C0E8F">
        <w:rPr>
          <w:rFonts w:ascii="Franklin Gothic Book" w:hAnsi="Franklin Gothic Book" w:cs="Calibri"/>
          <w:bCs/>
          <w:color w:val="00B0F0"/>
          <w:lang w:eastAsia="fr-FR" w:bidi="ar-SA"/>
        </w:rPr>
        <w:t>[</w:t>
      </w:r>
      <w:r w:rsidRPr="00C77C2E">
        <w:rPr>
          <w:rFonts w:ascii="Franklin Gothic Book" w:eastAsia="Calibri" w:hAnsi="Franklin Gothic Book"/>
          <w:color w:val="00B0F0"/>
          <w:lang w:eastAsia="nb-NO" w:bidi="ar-SA"/>
        </w:rPr>
        <w:t>MSG, national secretariat or consultant</w:t>
      </w:r>
      <w:r w:rsidR="00900C31" w:rsidRPr="006C0E8F">
        <w:rPr>
          <w:rFonts w:ascii="Franklin Gothic Book" w:hAnsi="Franklin Gothic Book" w:cs="Calibri"/>
          <w:bCs/>
          <w:color w:val="00B0F0"/>
          <w:lang w:eastAsia="fr-FR" w:bidi="ar-SA"/>
        </w:rPr>
        <w:t>]</w:t>
      </w:r>
      <w:r>
        <w:rPr>
          <w:rFonts w:ascii="Franklin Gothic Book" w:eastAsia="Calibri" w:hAnsi="Franklin Gothic Book"/>
          <w:color w:val="00B0F0"/>
          <w:lang w:eastAsia="nb-NO" w:bidi="ar-SA"/>
        </w:rPr>
        <w:t xml:space="preserve"> </w:t>
      </w:r>
      <w:r>
        <w:rPr>
          <w:rFonts w:ascii="Franklin Gothic Book" w:eastAsia="Calibri" w:hAnsi="Franklin Gothic Book"/>
          <w:lang w:eastAsia="nb-NO" w:bidi="ar-SA"/>
        </w:rPr>
        <w:t xml:space="preserve">should analyse the information to ensure that the reporting will meet the agreed objectives. </w:t>
      </w:r>
      <w:r w:rsidR="00900C31" w:rsidRPr="006C0E8F">
        <w:rPr>
          <w:rFonts w:ascii="Franklin Gothic Book" w:hAnsi="Franklin Gothic Book" w:cs="Calibri"/>
          <w:bCs/>
          <w:color w:val="00B0F0"/>
          <w:lang w:eastAsia="fr-FR" w:bidi="ar-SA"/>
        </w:rPr>
        <w:t>[</w:t>
      </w:r>
      <w:r>
        <w:rPr>
          <w:rFonts w:ascii="Franklin Gothic Book" w:eastAsia="Calibri" w:hAnsi="Franklin Gothic Book"/>
          <w:color w:val="00B0F0"/>
          <w:lang w:eastAsia="nb-NO" w:bidi="ar-SA"/>
        </w:rPr>
        <w:t>Further specification of the kind of analysis to be undertaken that is not reflected in Table 1 can be included here.</w:t>
      </w:r>
      <w:r w:rsidR="00900C31" w:rsidRPr="006C0E8F">
        <w:rPr>
          <w:rFonts w:ascii="Franklin Gothic Book" w:hAnsi="Franklin Gothic Book" w:cs="Calibri"/>
          <w:bCs/>
          <w:color w:val="00B0F0"/>
          <w:lang w:eastAsia="fr-FR" w:bidi="ar-SA"/>
        </w:rPr>
        <w:t>]</w:t>
      </w:r>
    </w:p>
    <w:p w14:paraId="6E0B3759" w14:textId="69BFC295" w:rsidR="00C77C2E" w:rsidRDefault="00C77C2E" w:rsidP="004302B0">
      <w:pPr>
        <w:pStyle w:val="ListParagraph"/>
        <w:ind w:left="643"/>
        <w:rPr>
          <w:rFonts w:ascii="Franklin Gothic Book" w:eastAsia="Calibri" w:hAnsi="Franklin Gothic Book"/>
          <w:b/>
          <w:bCs/>
          <w:color w:val="FF0000"/>
          <w:lang w:eastAsia="nb-NO" w:bidi="ar-SA"/>
        </w:rPr>
      </w:pPr>
    </w:p>
    <w:p w14:paraId="0A7EFBEB" w14:textId="1D8B4C8B" w:rsidR="00867973" w:rsidRPr="00867973" w:rsidRDefault="004302B0" w:rsidP="007B601D">
      <w:pPr>
        <w:pStyle w:val="ListParagraph"/>
        <w:numPr>
          <w:ilvl w:val="0"/>
          <w:numId w:val="42"/>
        </w:numPr>
        <w:shd w:val="clear" w:color="auto" w:fill="FFFFFF"/>
        <w:tabs>
          <w:tab w:val="left" w:pos="426"/>
          <w:tab w:val="left" w:pos="709"/>
        </w:tabs>
        <w:spacing w:before="240" w:after="240" w:line="240" w:lineRule="auto"/>
        <w:ind w:left="697" w:hanging="340"/>
        <w:jc w:val="left"/>
        <w:rPr>
          <w:rFonts w:ascii="Franklin Gothic Book" w:eastAsia="Calibri" w:hAnsi="Franklin Gothic Book"/>
          <w:color w:val="FF0000"/>
          <w:lang w:eastAsia="nb-NO" w:bidi="ar-SA"/>
        </w:rPr>
      </w:pPr>
      <w:r w:rsidRPr="00867973">
        <w:rPr>
          <w:rFonts w:ascii="Franklin Gothic Book" w:eastAsia="Calibri" w:hAnsi="Franklin Gothic Book"/>
          <w:b/>
          <w:bCs/>
          <w:lang w:eastAsia="nb-NO" w:bidi="ar-SA"/>
        </w:rPr>
        <w:t xml:space="preserve">Review </w:t>
      </w:r>
      <w:r w:rsidR="00C77C2E" w:rsidRPr="00867973">
        <w:rPr>
          <w:rFonts w:ascii="Franklin Gothic Book" w:eastAsia="Calibri" w:hAnsi="Franklin Gothic Book"/>
          <w:b/>
          <w:bCs/>
          <w:lang w:eastAsia="nb-NO" w:bidi="ar-SA"/>
        </w:rPr>
        <w:t xml:space="preserve">the </w:t>
      </w:r>
      <w:r w:rsidRPr="00867973">
        <w:rPr>
          <w:rFonts w:ascii="Franklin Gothic Book" w:eastAsia="Calibri" w:hAnsi="Franklin Gothic Book"/>
          <w:b/>
          <w:bCs/>
          <w:lang w:eastAsia="nb-NO" w:bidi="ar-SA"/>
        </w:rPr>
        <w:t>comprehensiveness and reliability</w:t>
      </w:r>
      <w:r w:rsidR="00C77C2E" w:rsidRPr="00867973">
        <w:rPr>
          <w:rFonts w:ascii="Franklin Gothic Book" w:eastAsia="Calibri" w:hAnsi="Franklin Gothic Book"/>
          <w:b/>
          <w:bCs/>
          <w:lang w:eastAsia="nb-NO" w:bidi="ar-SA"/>
        </w:rPr>
        <w:t xml:space="preserve"> of the </w:t>
      </w:r>
      <w:r w:rsidR="00D7021B" w:rsidRPr="00867973">
        <w:rPr>
          <w:rFonts w:ascii="Franklin Gothic Book" w:eastAsia="Calibri" w:hAnsi="Franklin Gothic Book"/>
          <w:b/>
          <w:bCs/>
          <w:lang w:eastAsia="nb-NO" w:bidi="ar-SA"/>
        </w:rPr>
        <w:t xml:space="preserve">financial </w:t>
      </w:r>
      <w:r w:rsidR="00C77C2E" w:rsidRPr="00867973">
        <w:rPr>
          <w:rFonts w:ascii="Franklin Gothic Book" w:eastAsia="Calibri" w:hAnsi="Franklin Gothic Book"/>
          <w:b/>
          <w:bCs/>
          <w:lang w:eastAsia="nb-NO" w:bidi="ar-SA"/>
        </w:rPr>
        <w:t>data</w:t>
      </w:r>
      <w:r w:rsidRPr="00867973">
        <w:rPr>
          <w:rFonts w:ascii="Franklin Gothic Book" w:eastAsia="Calibri" w:hAnsi="Franklin Gothic Book"/>
          <w:color w:val="FF0000"/>
          <w:lang w:eastAsia="nb-NO" w:bidi="ar-SA"/>
        </w:rPr>
        <w:t xml:space="preserve">. </w:t>
      </w:r>
      <w:r w:rsidR="00C77C2E" w:rsidRPr="00867973">
        <w:rPr>
          <w:rFonts w:ascii="Franklin Gothic Book" w:eastAsia="Calibri" w:hAnsi="Franklin Gothic Book"/>
          <w:lang w:eastAsia="nb-NO" w:bidi="ar-SA"/>
        </w:rPr>
        <w:t xml:space="preserve">The </w:t>
      </w:r>
      <w:r w:rsidR="00900C31" w:rsidRPr="006C0E8F">
        <w:rPr>
          <w:rFonts w:ascii="Franklin Gothic Book" w:hAnsi="Franklin Gothic Book" w:cs="Calibri"/>
          <w:bCs/>
          <w:color w:val="00B0F0"/>
          <w:lang w:eastAsia="fr-FR" w:bidi="ar-SA"/>
        </w:rPr>
        <w:t>[</w:t>
      </w:r>
      <w:r w:rsidR="00C77C2E" w:rsidRPr="00867973">
        <w:rPr>
          <w:rFonts w:ascii="Franklin Gothic Book" w:eastAsia="Calibri" w:hAnsi="Franklin Gothic Book"/>
          <w:color w:val="00B0F0"/>
          <w:lang w:eastAsia="nb-NO" w:bidi="ar-SA"/>
        </w:rPr>
        <w:t>MSG, national secretariat or consultant</w:t>
      </w:r>
      <w:r w:rsidR="00900C31" w:rsidRPr="006C0E8F">
        <w:rPr>
          <w:rFonts w:ascii="Franklin Gothic Book" w:hAnsi="Franklin Gothic Book" w:cs="Calibri"/>
          <w:bCs/>
          <w:color w:val="00B0F0"/>
          <w:lang w:eastAsia="fr-FR" w:bidi="ar-SA"/>
        </w:rPr>
        <w:t>]</w:t>
      </w:r>
      <w:r w:rsidR="00C77C2E" w:rsidRPr="00867973">
        <w:rPr>
          <w:rFonts w:ascii="Franklin Gothic Book" w:eastAsia="Calibri" w:hAnsi="Franklin Gothic Book"/>
          <w:color w:val="00B0F0"/>
          <w:lang w:eastAsia="nb-NO" w:bidi="ar-SA"/>
        </w:rPr>
        <w:t xml:space="preserve"> </w:t>
      </w:r>
      <w:r w:rsidR="00C77C2E" w:rsidRPr="00867973">
        <w:rPr>
          <w:rFonts w:ascii="Franklin Gothic Book" w:eastAsia="Calibri" w:hAnsi="Franklin Gothic Book"/>
          <w:lang w:eastAsia="nb-NO" w:bidi="ar-SA"/>
        </w:rPr>
        <w:t xml:space="preserve">should review the comprehensiveness and reliability of the </w:t>
      </w:r>
      <w:r w:rsidR="00D7021B" w:rsidRPr="00867973">
        <w:rPr>
          <w:rFonts w:ascii="Franklin Gothic Book" w:eastAsia="Calibri" w:hAnsi="Franklin Gothic Book"/>
          <w:lang w:eastAsia="nb-NO" w:bidi="ar-SA"/>
        </w:rPr>
        <w:t>financial data</w:t>
      </w:r>
      <w:r w:rsidRPr="00867973" w:rsidDel="00CD2F06">
        <w:rPr>
          <w:rFonts w:ascii="Franklin Gothic Book" w:eastAsia="Calibri" w:hAnsi="Franklin Gothic Book"/>
          <w:lang w:eastAsia="nb-NO" w:bidi="ar-SA"/>
        </w:rPr>
        <w:t xml:space="preserve"> </w:t>
      </w:r>
      <w:r w:rsidR="00CD2F06">
        <w:rPr>
          <w:rFonts w:ascii="Franklin Gothic Book" w:eastAsia="Calibri" w:hAnsi="Franklin Gothic Book"/>
          <w:lang w:eastAsia="nb-NO" w:bidi="ar-SA"/>
        </w:rPr>
        <w:t>covered in the reporting process</w:t>
      </w:r>
      <w:r w:rsidR="00CD2F06" w:rsidRPr="00867973">
        <w:rPr>
          <w:rFonts w:ascii="Franklin Gothic Book" w:eastAsia="Calibri" w:hAnsi="Franklin Gothic Book"/>
          <w:lang w:eastAsia="nb-NO" w:bidi="ar-SA"/>
        </w:rPr>
        <w:t xml:space="preserve"> </w:t>
      </w:r>
      <w:r w:rsidRPr="00867973">
        <w:rPr>
          <w:rFonts w:ascii="Franklin Gothic Book" w:eastAsia="Calibri" w:hAnsi="Franklin Gothic Book"/>
          <w:lang w:eastAsia="nb-NO" w:bidi="ar-SA"/>
        </w:rPr>
        <w:t>as agreed by the MSG in Phase 2</w:t>
      </w:r>
      <w:r w:rsidR="00C77C2E" w:rsidRPr="00867973">
        <w:rPr>
          <w:rFonts w:ascii="Franklin Gothic Book" w:eastAsia="Calibri" w:hAnsi="Franklin Gothic Book"/>
          <w:lang w:eastAsia="nb-NO" w:bidi="ar-SA"/>
        </w:rPr>
        <w:t>, and identify any gaps or weaknesses in reporting.</w:t>
      </w:r>
      <w:r w:rsidR="00C91633" w:rsidRPr="00867973">
        <w:rPr>
          <w:rFonts w:ascii="Franklin Gothic Book" w:eastAsia="Calibri" w:hAnsi="Franklin Gothic Book"/>
          <w:lang w:eastAsia="nb-NO" w:bidi="ar-SA"/>
        </w:rPr>
        <w:t xml:space="preserve"> The MS</w:t>
      </w:r>
      <w:r w:rsidR="00BC01DC" w:rsidRPr="00867973">
        <w:rPr>
          <w:rFonts w:ascii="Franklin Gothic Book" w:eastAsia="Calibri" w:hAnsi="Franklin Gothic Book"/>
          <w:lang w:eastAsia="nb-NO" w:bidi="ar-SA"/>
        </w:rPr>
        <w:t>G</w:t>
      </w:r>
      <w:r w:rsidR="00C91633" w:rsidRPr="00867973">
        <w:rPr>
          <w:rFonts w:ascii="Franklin Gothic Book" w:eastAsia="Calibri" w:hAnsi="Franklin Gothic Book"/>
          <w:lang w:eastAsia="nb-NO" w:bidi="ar-SA"/>
        </w:rPr>
        <w:t xml:space="preserve"> should </w:t>
      </w:r>
      <w:r w:rsidRPr="00867973">
        <w:rPr>
          <w:rFonts w:ascii="Franklin Gothic Book" w:eastAsia="Calibri" w:hAnsi="Franklin Gothic Book"/>
          <w:lang w:eastAsia="nb-NO" w:bidi="ar-SA"/>
        </w:rPr>
        <w:t>examin</w:t>
      </w:r>
      <w:r w:rsidR="00C91633" w:rsidRPr="00867973">
        <w:rPr>
          <w:rFonts w:ascii="Franklin Gothic Book" w:eastAsia="Calibri" w:hAnsi="Franklin Gothic Book"/>
          <w:lang w:eastAsia="nb-NO" w:bidi="ar-SA"/>
        </w:rPr>
        <w:t>e</w:t>
      </w:r>
      <w:r w:rsidRPr="00867973">
        <w:rPr>
          <w:rFonts w:ascii="Franklin Gothic Book" w:eastAsia="Calibri" w:hAnsi="Franklin Gothic Book"/>
          <w:lang w:eastAsia="nb-NO" w:bidi="ar-SA"/>
        </w:rPr>
        <w:t xml:space="preserve"> the audit and assurance procedures in government entities </w:t>
      </w:r>
      <w:r w:rsidR="00867973" w:rsidRPr="00867973">
        <w:rPr>
          <w:rFonts w:ascii="Franklin Gothic Book" w:eastAsia="Calibri" w:hAnsi="Franklin Gothic Book"/>
          <w:lang w:eastAsia="nb-NO" w:bidi="ar-SA"/>
        </w:rPr>
        <w:t xml:space="preserve">and companies </w:t>
      </w:r>
      <w:r w:rsidRPr="00867973">
        <w:rPr>
          <w:rFonts w:ascii="Franklin Gothic Book" w:eastAsia="Calibri" w:hAnsi="Franklin Gothic Book"/>
          <w:lang w:eastAsia="nb-NO" w:bidi="ar-SA"/>
        </w:rPr>
        <w:t>participating in the EITI reporting process</w:t>
      </w:r>
      <w:r w:rsidR="00867973" w:rsidRPr="00867973">
        <w:rPr>
          <w:rFonts w:ascii="Franklin Gothic Book" w:eastAsia="Calibri" w:hAnsi="Franklin Gothic Book"/>
          <w:lang w:eastAsia="nb-NO" w:bidi="ar-SA"/>
        </w:rPr>
        <w:t xml:space="preserve">. This could include </w:t>
      </w:r>
      <w:r w:rsidR="00867973">
        <w:rPr>
          <w:rFonts w:ascii="Franklin Gothic Book" w:eastAsia="Calibri" w:hAnsi="Franklin Gothic Book"/>
          <w:lang w:eastAsia="nb-NO" w:bidi="ar-SA"/>
        </w:rPr>
        <w:t>r</w:t>
      </w:r>
      <w:r w:rsidR="00867973" w:rsidRPr="00867973">
        <w:rPr>
          <w:rFonts w:ascii="Franklin Gothic Book" w:eastAsia="Calibri" w:hAnsi="Franklin Gothic Book"/>
          <w:lang w:eastAsia="nb-NO" w:bidi="ar-SA"/>
        </w:rPr>
        <w:t>eviewing the statutory audit and assurance requirements for companies and government including the relevant laws, regulations and any reforms planned or underway</w:t>
      </w:r>
      <w:r w:rsidR="005D0EFB">
        <w:rPr>
          <w:rFonts w:ascii="Franklin Gothic Book" w:eastAsia="Calibri" w:hAnsi="Franklin Gothic Book"/>
          <w:lang w:eastAsia="nb-NO" w:bidi="ar-SA"/>
        </w:rPr>
        <w:t>, as well as any non-trivial deviations in practice in the period under review</w:t>
      </w:r>
      <w:r w:rsidR="00867973" w:rsidRPr="00867973">
        <w:rPr>
          <w:rFonts w:ascii="Franklin Gothic Book" w:eastAsia="Calibri" w:hAnsi="Franklin Gothic Book"/>
          <w:lang w:eastAsia="nb-NO" w:bidi="ar-SA"/>
        </w:rPr>
        <w:t>. It could further include assessing whether reporting entities had their financial statements audited in the financial year covered</w:t>
      </w:r>
      <w:r w:rsidR="00762ABD">
        <w:rPr>
          <w:rFonts w:ascii="Franklin Gothic Book" w:eastAsia="Calibri" w:hAnsi="Franklin Gothic Book"/>
          <w:lang w:eastAsia="nb-NO" w:bidi="ar-SA"/>
        </w:rPr>
        <w:t>, the results of such audits</w:t>
      </w:r>
      <w:r w:rsidR="00867973" w:rsidRPr="00867973">
        <w:rPr>
          <w:rFonts w:ascii="Franklin Gothic Book" w:eastAsia="Calibri" w:hAnsi="Franklin Gothic Book"/>
          <w:lang w:eastAsia="nb-NO" w:bidi="ar-SA"/>
        </w:rPr>
        <w:t xml:space="preserve">, </w:t>
      </w:r>
      <w:r w:rsidR="00762ABD">
        <w:rPr>
          <w:rFonts w:ascii="Franklin Gothic Book" w:eastAsia="Calibri" w:hAnsi="Franklin Gothic Book"/>
          <w:lang w:eastAsia="nb-NO" w:bidi="ar-SA"/>
        </w:rPr>
        <w:t xml:space="preserve">and </w:t>
      </w:r>
      <w:r w:rsidR="00867973" w:rsidRPr="00867973">
        <w:rPr>
          <w:rFonts w:ascii="Franklin Gothic Book" w:eastAsia="Calibri" w:hAnsi="Franklin Gothic Book"/>
          <w:lang w:eastAsia="nb-NO" w:bidi="ar-SA"/>
        </w:rPr>
        <w:t xml:space="preserve">whether the audited financial statements are publicly available </w:t>
      </w:r>
      <w:r w:rsidR="00762ABD">
        <w:rPr>
          <w:rFonts w:ascii="Franklin Gothic Book" w:eastAsia="Calibri" w:hAnsi="Franklin Gothic Book"/>
          <w:lang w:eastAsia="nb-NO" w:bidi="ar-SA"/>
        </w:rPr>
        <w:t xml:space="preserve">as well as guidance on </w:t>
      </w:r>
      <w:r w:rsidR="00867973" w:rsidRPr="00867973">
        <w:rPr>
          <w:rFonts w:ascii="Franklin Gothic Book" w:eastAsia="Calibri" w:hAnsi="Franklin Gothic Book"/>
          <w:lang w:eastAsia="nb-NO" w:bidi="ar-SA"/>
        </w:rPr>
        <w:t>where they can be accessed. MSGs may refer to EITI guidance for further advice</w:t>
      </w:r>
      <w:r w:rsidR="009A248C">
        <w:rPr>
          <w:rFonts w:ascii="Franklin Gothic Book" w:eastAsia="Calibri" w:hAnsi="Franklin Gothic Book"/>
          <w:lang w:eastAsia="nb-NO" w:bidi="ar-SA"/>
        </w:rPr>
        <w:t>.</w:t>
      </w:r>
      <w:r w:rsidR="00867973">
        <w:rPr>
          <w:rStyle w:val="FootnoteReference"/>
          <w:rFonts w:ascii="Franklin Gothic Book" w:eastAsia="Calibri" w:hAnsi="Franklin Gothic Book"/>
          <w:lang w:eastAsia="nb-NO" w:bidi="ar-SA"/>
        </w:rPr>
        <w:footnoteReference w:id="13"/>
      </w:r>
      <w:r w:rsidR="008D3A2C">
        <w:rPr>
          <w:rFonts w:ascii="Franklin Gothic Book" w:eastAsia="Calibri" w:hAnsi="Franklin Gothic Book"/>
          <w:lang w:eastAsia="nb-NO" w:bidi="ar-SA"/>
        </w:rPr>
        <w:t xml:space="preserve"> </w:t>
      </w:r>
      <w:r w:rsidR="009A248C">
        <w:rPr>
          <w:rFonts w:ascii="Franklin Gothic Book" w:eastAsia="Calibri" w:hAnsi="Franklin Gothic Book"/>
          <w:lang w:eastAsia="nb-NO" w:bidi="ar-SA"/>
        </w:rPr>
        <w:t xml:space="preserve">MSGs may wish to consider developing a checklist </w:t>
      </w:r>
      <w:r w:rsidR="008D3A2C">
        <w:rPr>
          <w:rFonts w:ascii="Franklin Gothic Book" w:eastAsia="Calibri" w:hAnsi="Franklin Gothic Book"/>
          <w:lang w:eastAsia="nb-NO" w:bidi="ar-SA"/>
        </w:rPr>
        <w:t xml:space="preserve">for </w:t>
      </w:r>
      <w:r w:rsidR="004A303C">
        <w:rPr>
          <w:rFonts w:ascii="Franklin Gothic Book" w:eastAsia="Calibri" w:hAnsi="Franklin Gothic Book"/>
          <w:lang w:eastAsia="nb-NO" w:bidi="ar-SA"/>
        </w:rPr>
        <w:t>ensuring their detailed assessments of the strengths and weaknesses in the comprehensiveness and reliability of financial EITI data disclosed through the flexible approach</w:t>
      </w:r>
      <w:r w:rsidR="009A248C">
        <w:rPr>
          <w:rFonts w:ascii="Franklin Gothic Book" w:eastAsia="Calibri" w:hAnsi="Franklin Gothic Book"/>
          <w:lang w:eastAsia="nb-NO" w:bidi="ar-SA"/>
        </w:rPr>
        <w:t>, with support from the International Secretariat</w:t>
      </w:r>
      <w:r w:rsidR="004A303C">
        <w:rPr>
          <w:rFonts w:ascii="Franklin Gothic Book" w:eastAsia="Calibri" w:hAnsi="Franklin Gothic Book"/>
          <w:lang w:eastAsia="nb-NO" w:bidi="ar-SA"/>
        </w:rPr>
        <w:t xml:space="preserve">. </w:t>
      </w:r>
    </w:p>
    <w:p w14:paraId="428B7457" w14:textId="77777777" w:rsidR="00867973" w:rsidRPr="00867973" w:rsidRDefault="00867973" w:rsidP="00867973">
      <w:pPr>
        <w:pStyle w:val="ListParagraph"/>
        <w:rPr>
          <w:rFonts w:ascii="Franklin Gothic Book" w:eastAsia="Calibri" w:hAnsi="Franklin Gothic Book"/>
          <w:lang w:eastAsia="nb-NO" w:bidi="ar-SA"/>
        </w:rPr>
      </w:pPr>
    </w:p>
    <w:p w14:paraId="348558C5" w14:textId="18D21CF3" w:rsidR="00B84D3C" w:rsidRDefault="004E76B0" w:rsidP="00867973">
      <w:pPr>
        <w:pStyle w:val="ListParagraph"/>
        <w:shd w:val="clear" w:color="auto" w:fill="FFFFFF"/>
        <w:tabs>
          <w:tab w:val="left" w:pos="426"/>
          <w:tab w:val="left" w:pos="709"/>
        </w:tabs>
        <w:spacing w:before="240" w:after="240" w:line="240" w:lineRule="auto"/>
        <w:ind w:left="697"/>
        <w:jc w:val="left"/>
        <w:rPr>
          <w:rFonts w:ascii="Franklin Gothic Book" w:eastAsia="Calibri" w:hAnsi="Franklin Gothic Book"/>
          <w:lang w:eastAsia="nb-NO" w:bidi="ar-SA"/>
        </w:rPr>
      </w:pPr>
      <w:r w:rsidRPr="00BC01DC">
        <w:rPr>
          <w:rFonts w:ascii="Franklin Gothic Book" w:eastAsia="Calibri" w:hAnsi="Franklin Gothic Book"/>
          <w:lang w:eastAsia="nb-NO" w:bidi="ar-SA"/>
        </w:rPr>
        <w:t>Where necessary, the MSG should discuss what additional work is needed to address concerns about the comprehensiveness and reliability of the disclosed data</w:t>
      </w:r>
      <w:r w:rsidR="004A2379">
        <w:rPr>
          <w:rFonts w:ascii="Franklin Gothic Book" w:eastAsia="Calibri" w:hAnsi="Franklin Gothic Book"/>
          <w:lang w:eastAsia="nb-NO" w:bidi="ar-SA"/>
        </w:rPr>
        <w:t xml:space="preserve">, in consultation with government, companies and the entities undertaking their </w:t>
      </w:r>
      <w:r w:rsidR="00703700">
        <w:rPr>
          <w:rFonts w:ascii="Franklin Gothic Book" w:eastAsia="Calibri" w:hAnsi="Franklin Gothic Book"/>
          <w:lang w:eastAsia="nb-NO" w:bidi="ar-SA"/>
        </w:rPr>
        <w:t xml:space="preserve">statutory </w:t>
      </w:r>
      <w:r w:rsidR="004A2379">
        <w:rPr>
          <w:rFonts w:ascii="Franklin Gothic Book" w:eastAsia="Calibri" w:hAnsi="Franklin Gothic Book"/>
          <w:lang w:eastAsia="nb-NO" w:bidi="ar-SA"/>
        </w:rPr>
        <w:t>audits</w:t>
      </w:r>
      <w:r w:rsidRPr="00BC01DC">
        <w:rPr>
          <w:rFonts w:ascii="Franklin Gothic Book" w:eastAsia="Calibri" w:hAnsi="Franklin Gothic Book"/>
          <w:lang w:eastAsia="nb-NO" w:bidi="ar-SA"/>
        </w:rPr>
        <w:t>.</w:t>
      </w:r>
    </w:p>
    <w:p w14:paraId="38FCB6DA" w14:textId="77777777" w:rsidR="00867973" w:rsidRDefault="00867973" w:rsidP="00867973">
      <w:pPr>
        <w:pStyle w:val="ListParagraph"/>
        <w:shd w:val="clear" w:color="auto" w:fill="FFFFFF"/>
        <w:tabs>
          <w:tab w:val="left" w:pos="426"/>
          <w:tab w:val="left" w:pos="709"/>
        </w:tabs>
        <w:spacing w:before="240" w:after="240" w:line="240" w:lineRule="auto"/>
        <w:ind w:left="697"/>
        <w:jc w:val="left"/>
      </w:pPr>
    </w:p>
    <w:p w14:paraId="3D8BC945" w14:textId="04043343" w:rsidR="00BF21C5" w:rsidRPr="00900C31" w:rsidRDefault="00BC01DC" w:rsidP="00492549">
      <w:pPr>
        <w:pStyle w:val="ListParagraph"/>
        <w:numPr>
          <w:ilvl w:val="0"/>
          <w:numId w:val="42"/>
        </w:numPr>
        <w:shd w:val="clear" w:color="auto" w:fill="FFFFFF"/>
        <w:tabs>
          <w:tab w:val="left" w:pos="426"/>
          <w:tab w:val="left" w:pos="709"/>
        </w:tabs>
        <w:spacing w:before="240" w:after="240" w:line="240" w:lineRule="auto"/>
        <w:ind w:left="697" w:hanging="340"/>
        <w:jc w:val="left"/>
        <w:rPr>
          <w:rFonts w:ascii="Franklin Gothic Book" w:hAnsi="Franklin Gothic Book" w:cs="Calibri"/>
          <w:bCs/>
          <w:color w:val="00B0F0"/>
          <w:lang w:eastAsia="fr-FR" w:bidi="ar-SA"/>
        </w:rPr>
      </w:pPr>
      <w:r w:rsidRPr="00900C31">
        <w:rPr>
          <w:rFonts w:ascii="Franklin Gothic Book" w:eastAsia="Calibri" w:hAnsi="Franklin Gothic Book"/>
          <w:b/>
          <w:bCs/>
          <w:lang w:eastAsia="nb-NO" w:bidi="ar-SA"/>
        </w:rPr>
        <w:t>Draf</w:t>
      </w:r>
      <w:r w:rsidRPr="00900C31" w:rsidDel="00377BDD">
        <w:rPr>
          <w:rFonts w:ascii="Franklin Gothic Book" w:eastAsia="Calibri" w:hAnsi="Franklin Gothic Book"/>
          <w:b/>
          <w:bCs/>
          <w:lang w:eastAsia="nb-NO" w:bidi="ar-SA"/>
        </w:rPr>
        <w:t>ting</w:t>
      </w:r>
      <w:r w:rsidRPr="00900C31">
        <w:rPr>
          <w:rFonts w:ascii="Franklin Gothic Book" w:eastAsia="Calibri" w:hAnsi="Franklin Gothic Book"/>
          <w:b/>
          <w:bCs/>
          <w:lang w:eastAsia="nb-NO" w:bidi="ar-SA"/>
        </w:rPr>
        <w:t xml:space="preserve"> </w:t>
      </w:r>
      <w:r w:rsidR="00377BDD">
        <w:rPr>
          <w:rFonts w:ascii="Franklin Gothic Book" w:eastAsia="Calibri" w:hAnsi="Franklin Gothic Book"/>
          <w:b/>
          <w:bCs/>
          <w:lang w:eastAsia="nb-NO" w:bidi="ar-SA"/>
        </w:rPr>
        <w:t>the</w:t>
      </w:r>
      <w:r w:rsidRPr="00900C31">
        <w:rPr>
          <w:rFonts w:ascii="Franklin Gothic Book" w:eastAsia="Calibri" w:hAnsi="Franklin Gothic Book"/>
          <w:b/>
          <w:bCs/>
          <w:lang w:eastAsia="nb-NO" w:bidi="ar-SA"/>
        </w:rPr>
        <w:t xml:space="preserve"> report</w:t>
      </w:r>
      <w:r w:rsidR="00C91633" w:rsidRPr="00900C31">
        <w:rPr>
          <w:rFonts w:ascii="Franklin Gothic Book" w:eastAsia="Calibri" w:hAnsi="Franklin Gothic Book"/>
          <w:color w:val="FF0000"/>
          <w:lang w:eastAsia="nb-NO" w:bidi="ar-SA"/>
        </w:rPr>
        <w:t>.</w:t>
      </w:r>
      <w:r w:rsidRPr="00900C31">
        <w:rPr>
          <w:rFonts w:ascii="Franklin Gothic Book" w:eastAsia="Calibri" w:hAnsi="Franklin Gothic Book"/>
          <w:color w:val="FF0000"/>
          <w:lang w:eastAsia="nb-NO" w:bidi="ar-SA"/>
        </w:rPr>
        <w:t xml:space="preserve"> </w:t>
      </w:r>
      <w:r w:rsidRPr="00900C31">
        <w:rPr>
          <w:rFonts w:ascii="Franklin Gothic Book" w:eastAsia="Calibri" w:hAnsi="Franklin Gothic Book"/>
          <w:lang w:eastAsia="nb-NO" w:bidi="ar-SA"/>
        </w:rPr>
        <w:t xml:space="preserve">The </w:t>
      </w:r>
      <w:r w:rsidR="00900C31" w:rsidRPr="00900C31">
        <w:rPr>
          <w:rFonts w:ascii="Franklin Gothic Book" w:hAnsi="Franklin Gothic Book" w:cs="Calibri"/>
          <w:bCs/>
          <w:color w:val="00B0F0"/>
          <w:lang w:eastAsia="fr-FR" w:bidi="ar-SA"/>
        </w:rPr>
        <w:t>[</w:t>
      </w:r>
      <w:r w:rsidRPr="00900C31">
        <w:rPr>
          <w:rFonts w:ascii="Franklin Gothic Book" w:eastAsia="Calibri" w:hAnsi="Franklin Gothic Book"/>
          <w:color w:val="00B0F0"/>
          <w:lang w:eastAsia="nb-NO" w:bidi="ar-SA"/>
        </w:rPr>
        <w:t>MSG, national secretariat or consultant</w:t>
      </w:r>
      <w:r w:rsidR="00900C31" w:rsidRPr="00900C31">
        <w:rPr>
          <w:rFonts w:ascii="Franklin Gothic Book" w:hAnsi="Franklin Gothic Book" w:cs="Calibri"/>
          <w:bCs/>
          <w:color w:val="00B0F0"/>
          <w:lang w:eastAsia="fr-FR" w:bidi="ar-SA"/>
        </w:rPr>
        <w:t>]</w:t>
      </w:r>
      <w:r w:rsidRPr="00900C31">
        <w:rPr>
          <w:rFonts w:ascii="Franklin Gothic Book" w:eastAsia="Calibri" w:hAnsi="Franklin Gothic Book"/>
          <w:lang w:eastAsia="nb-NO" w:bidi="ar-SA"/>
        </w:rPr>
        <w:t xml:space="preserve"> should prepare a draft report </w:t>
      </w:r>
      <w:r w:rsidR="00BF21C5" w:rsidRPr="00900C31">
        <w:rPr>
          <w:rFonts w:ascii="Franklin Gothic Book" w:eastAsia="Calibri" w:hAnsi="Franklin Gothic Book"/>
          <w:lang w:eastAsia="nb-NO" w:bidi="ar-SA"/>
        </w:rPr>
        <w:t>that comprehensively compiles the information disclosed by the reporting entities, identifying any discrepancies, and provides other information or analysis requested by the MSG (in accordance with Phase</w:t>
      </w:r>
      <w:r w:rsidR="00377BDD">
        <w:rPr>
          <w:rFonts w:ascii="Franklin Gothic Book" w:eastAsia="Calibri" w:hAnsi="Franklin Gothic Book"/>
          <w:lang w:eastAsia="nb-NO" w:bidi="ar-SA"/>
        </w:rPr>
        <w:t>s</w:t>
      </w:r>
      <w:r w:rsidR="00BF21C5" w:rsidRPr="00900C31">
        <w:rPr>
          <w:rFonts w:ascii="Franklin Gothic Book" w:eastAsia="Calibri" w:hAnsi="Franklin Gothic Book"/>
          <w:lang w:eastAsia="nb-NO" w:bidi="ar-SA"/>
        </w:rPr>
        <w:t xml:space="preserve"> 1 and 2). The draft EITI Report should include an explanation of the process for collecting, compiling and analysing the information, indicate the coverage of the report, and include the assessment of comprehensiveness and reliability </w:t>
      </w:r>
      <w:r w:rsidR="00AB6456" w:rsidRPr="00900C31">
        <w:rPr>
          <w:rFonts w:ascii="Franklin Gothic Book" w:eastAsia="Calibri" w:hAnsi="Franklin Gothic Book"/>
          <w:lang w:eastAsia="nb-NO" w:bidi="ar-SA"/>
        </w:rPr>
        <w:t>o</w:t>
      </w:r>
      <w:r w:rsidR="00BF21C5" w:rsidRPr="00900C31">
        <w:rPr>
          <w:rFonts w:ascii="Franklin Gothic Book" w:eastAsia="Calibri" w:hAnsi="Franklin Gothic Book"/>
          <w:lang w:eastAsia="nb-NO" w:bidi="ar-SA"/>
        </w:rPr>
        <w:t xml:space="preserve">f information. Any gaps or weaknesses identified should be disclosed in the report, including naming any entities that failed to </w:t>
      </w:r>
      <w:r w:rsidR="001B489C" w:rsidRPr="00900C31">
        <w:rPr>
          <w:rFonts w:ascii="Franklin Gothic Book" w:eastAsia="Calibri" w:hAnsi="Franklin Gothic Book"/>
          <w:lang w:eastAsia="nb-NO" w:bidi="ar-SA"/>
        </w:rPr>
        <w:t>submit information required by the EITI Standard (Requirements 2-6)</w:t>
      </w:r>
      <w:r w:rsidR="00BF21C5" w:rsidRPr="00900C31" w:rsidDel="001B489C">
        <w:rPr>
          <w:rFonts w:ascii="Franklin Gothic Book" w:eastAsia="Calibri" w:hAnsi="Franklin Gothic Book"/>
          <w:lang w:eastAsia="nb-NO" w:bidi="ar-SA"/>
        </w:rPr>
        <w:t xml:space="preserve">, </w:t>
      </w:r>
      <w:r w:rsidR="00BF21C5" w:rsidRPr="00900C31">
        <w:rPr>
          <w:rFonts w:ascii="Franklin Gothic Book" w:eastAsia="Calibri" w:hAnsi="Franklin Gothic Book"/>
          <w:lang w:eastAsia="nb-NO" w:bidi="ar-SA"/>
        </w:rPr>
        <w:t>and an assessment of whether this is likely to have had material impact on the comprehensiveness of the report. The information in the report should be clearly sourced. Where information is already being systematically disclosed, the report should clearly state where the information is publicly accessible.</w:t>
      </w:r>
    </w:p>
    <w:p w14:paraId="36B52233" w14:textId="41806EAC" w:rsidR="00BF21C5" w:rsidRPr="00FD1ABC" w:rsidRDefault="00BF21C5" w:rsidP="00BF21C5">
      <w:pPr>
        <w:widowControl w:val="0"/>
        <w:shd w:val="clear" w:color="auto" w:fill="FFFFFF"/>
        <w:tabs>
          <w:tab w:val="left" w:pos="709"/>
        </w:tabs>
        <w:suppressAutoHyphens/>
        <w:spacing w:before="240" w:after="240" w:line="240" w:lineRule="exact"/>
        <w:ind w:left="709"/>
        <w:jc w:val="left"/>
        <w:rPr>
          <w:rFonts w:ascii="Franklin Gothic Book" w:eastAsia="Calibri" w:hAnsi="Franklin Gothic Book"/>
          <w:lang w:eastAsia="nb-NO" w:bidi="ar-SA"/>
        </w:rPr>
      </w:pPr>
      <w:r w:rsidRPr="00FD1ABC">
        <w:rPr>
          <w:rFonts w:ascii="Franklin Gothic Book" w:eastAsia="Calibri" w:hAnsi="Franklin Gothic Book"/>
          <w:lang w:eastAsia="nb-NO" w:bidi="ar-SA"/>
        </w:rPr>
        <w:t xml:space="preserve">Where previous EITI Reports </w:t>
      </w:r>
      <w:r w:rsidR="005557A0">
        <w:rPr>
          <w:rFonts w:ascii="Franklin Gothic Book" w:eastAsia="Calibri" w:hAnsi="Franklin Gothic Book"/>
          <w:lang w:eastAsia="nb-NO" w:bidi="ar-SA"/>
        </w:rPr>
        <w:t xml:space="preserve">or Validations </w:t>
      </w:r>
      <w:r w:rsidRPr="00FD1ABC">
        <w:rPr>
          <w:rFonts w:ascii="Franklin Gothic Book" w:eastAsia="Calibri" w:hAnsi="Franklin Gothic Book"/>
          <w:lang w:eastAsia="nb-NO" w:bidi="ar-SA"/>
        </w:rPr>
        <w:t xml:space="preserve">have recommended corrective actions and reforms, the </w:t>
      </w:r>
      <w:r>
        <w:rPr>
          <w:rFonts w:ascii="Franklin Gothic Book" w:eastAsia="Calibri" w:hAnsi="Franklin Gothic Book"/>
          <w:lang w:eastAsia="nb-NO" w:bidi="ar-SA"/>
        </w:rPr>
        <w:t>report c</w:t>
      </w:r>
      <w:r w:rsidRPr="00FD1ABC">
        <w:rPr>
          <w:rFonts w:ascii="Franklin Gothic Book" w:eastAsia="Calibri" w:hAnsi="Franklin Gothic Book"/>
          <w:lang w:eastAsia="nb-NO" w:bidi="ar-SA"/>
        </w:rPr>
        <w:t xml:space="preserve">ould comment on the progress in implementing those measures. </w:t>
      </w:r>
      <w:r w:rsidRPr="00867973">
        <w:rPr>
          <w:rFonts w:ascii="Franklin Gothic Book" w:eastAsia="Calibri" w:hAnsi="Franklin Gothic Book"/>
          <w:lang w:eastAsia="nb-NO" w:bidi="ar-SA"/>
        </w:rPr>
        <w:t xml:space="preserve">The MSG could agree recommendations for strengthening regular, timely and comprehensive disclosures by government entities and companies in the future, including any recommendations regarding audit practices and reforms needed to bring them in line with international standards, and where appropriate, recommendations for other extractive sector reforms related to improving natural resource governance. </w:t>
      </w:r>
    </w:p>
    <w:p w14:paraId="4394B11A" w14:textId="5C417CCD" w:rsidR="00D145EC" w:rsidRPr="00C97685" w:rsidRDefault="00D145EC" w:rsidP="00D145EC">
      <w:pPr>
        <w:shd w:val="clear" w:color="auto" w:fill="FFFFFF"/>
        <w:tabs>
          <w:tab w:val="left" w:pos="426"/>
          <w:tab w:val="left" w:pos="709"/>
        </w:tabs>
        <w:spacing w:before="240" w:after="240" w:line="240" w:lineRule="auto"/>
        <w:jc w:val="left"/>
        <w:rPr>
          <w:rFonts w:ascii="Franklin Gothic Book" w:eastAsia="Calibri" w:hAnsi="Franklin Gothic Book"/>
          <w:b/>
          <w:bCs/>
          <w:lang w:eastAsia="nb-NO" w:bidi="ar-SA"/>
        </w:rPr>
      </w:pPr>
      <w:r w:rsidRPr="00C97685">
        <w:rPr>
          <w:rFonts w:ascii="Franklin Gothic Book" w:eastAsia="Calibri" w:hAnsi="Franklin Gothic Book"/>
          <w:b/>
          <w:bCs/>
          <w:lang w:eastAsia="nb-NO" w:bidi="ar-SA"/>
        </w:rPr>
        <w:t xml:space="preserve">Phase </w:t>
      </w:r>
      <w:r w:rsidR="009900EF" w:rsidRPr="00C97685">
        <w:rPr>
          <w:rFonts w:ascii="Franklin Gothic Book" w:eastAsia="Calibri" w:hAnsi="Franklin Gothic Book"/>
          <w:b/>
          <w:bCs/>
          <w:lang w:eastAsia="nb-NO" w:bidi="ar-SA"/>
        </w:rPr>
        <w:t>5</w:t>
      </w:r>
      <w:r w:rsidRPr="00C97685">
        <w:rPr>
          <w:rFonts w:ascii="Franklin Gothic Book" w:eastAsia="Calibri" w:hAnsi="Franklin Gothic Book"/>
          <w:b/>
          <w:bCs/>
          <w:lang w:eastAsia="nb-NO" w:bidi="ar-SA"/>
        </w:rPr>
        <w:t>: Final report</w:t>
      </w:r>
    </w:p>
    <w:p w14:paraId="7FD9B3BF" w14:textId="5B468F31" w:rsidR="00B171F2" w:rsidRPr="00C97685" w:rsidRDefault="00B171F2" w:rsidP="68CBBC64">
      <w:pPr>
        <w:widowControl w:val="0"/>
        <w:shd w:val="clear" w:color="auto" w:fill="FFFFFF" w:themeFill="background1"/>
        <w:tabs>
          <w:tab w:val="left" w:pos="709"/>
        </w:tabs>
        <w:suppressAutoHyphens/>
        <w:spacing w:before="240" w:after="240" w:line="240" w:lineRule="exact"/>
        <w:jc w:val="left"/>
        <w:rPr>
          <w:rFonts w:ascii="Franklin Gothic Book" w:eastAsia="Calibri" w:hAnsi="Franklin Gothic Book"/>
          <w:lang w:eastAsia="nb-NO" w:bidi="ar-SA"/>
        </w:rPr>
      </w:pPr>
      <w:r w:rsidRPr="68CBBC64">
        <w:rPr>
          <w:rFonts w:ascii="Franklin Gothic Book" w:eastAsia="Calibri" w:hAnsi="Franklin Gothic Book"/>
          <w:u w:val="single"/>
          <w:lang w:eastAsia="nb-NO" w:bidi="ar-SA"/>
        </w:rPr>
        <w:t>Objective:</w:t>
      </w:r>
      <w:r w:rsidRPr="68CBBC64">
        <w:rPr>
          <w:rFonts w:ascii="Franklin Gothic Book" w:eastAsia="Calibri" w:hAnsi="Franklin Gothic Book"/>
          <w:lang w:eastAsia="nb-NO" w:bidi="ar-SA"/>
        </w:rPr>
        <w:t xml:space="preserve"> The purpose of this phase is to ensure that any comments by the MSG on the preliminary disclosures or draft report have been </w:t>
      </w:r>
      <w:r w:rsidR="00AC25F8" w:rsidRPr="68CBBC64">
        <w:rPr>
          <w:rFonts w:ascii="Franklin Gothic Book" w:eastAsia="Calibri" w:hAnsi="Franklin Gothic Book"/>
          <w:lang w:eastAsia="nb-NO" w:bidi="ar-SA"/>
        </w:rPr>
        <w:t>reflected</w:t>
      </w:r>
      <w:r w:rsidRPr="68CBBC64">
        <w:rPr>
          <w:rFonts w:ascii="Franklin Gothic Book" w:eastAsia="Calibri" w:hAnsi="Franklin Gothic Book"/>
          <w:lang w:eastAsia="nb-NO" w:bidi="ar-SA"/>
        </w:rPr>
        <w:t xml:space="preserve"> in the final disclosures. </w:t>
      </w:r>
      <w:r w:rsidR="00AC25F8" w:rsidRPr="68CBBC64">
        <w:rPr>
          <w:rFonts w:ascii="Franklin Gothic Book" w:eastAsia="Calibri" w:hAnsi="Franklin Gothic Book"/>
          <w:lang w:eastAsia="nb-NO" w:bidi="ar-SA"/>
        </w:rPr>
        <w:t>The MSG could also consider how to best disseminate the data and share it with relevant stakeholders in light of health and safety challenged posed by the C</w:t>
      </w:r>
      <w:r w:rsidR="214F9F4A" w:rsidRPr="68CBBC64">
        <w:rPr>
          <w:rFonts w:ascii="Franklin Gothic Book" w:eastAsia="Calibri" w:hAnsi="Franklin Gothic Book"/>
          <w:lang w:eastAsia="nb-NO" w:bidi="ar-SA"/>
        </w:rPr>
        <w:t>ovid</w:t>
      </w:r>
      <w:r w:rsidR="00AC25F8" w:rsidRPr="68CBBC64">
        <w:rPr>
          <w:rFonts w:ascii="Franklin Gothic Book" w:eastAsia="Calibri" w:hAnsi="Franklin Gothic Book"/>
          <w:lang w:eastAsia="nb-NO" w:bidi="ar-SA"/>
        </w:rPr>
        <w:t>-19 pandemic.</w:t>
      </w:r>
      <w:r w:rsidR="00BC01DC" w:rsidRPr="68CBBC64">
        <w:rPr>
          <w:rFonts w:ascii="Franklin Gothic Book" w:eastAsia="Calibri" w:hAnsi="Franklin Gothic Book"/>
          <w:lang w:eastAsia="nb-NO" w:bidi="ar-SA"/>
        </w:rPr>
        <w:t xml:space="preserve"> The final report should include the MSGs assessment of comprehensiveness and reliability of the disclosed data, and identify any gaps or weaknesses in reporting</w:t>
      </w:r>
      <w:r w:rsidR="00377BDD" w:rsidRPr="68CBBC64">
        <w:rPr>
          <w:rFonts w:ascii="Franklin Gothic Book" w:eastAsia="Calibri" w:hAnsi="Franklin Gothic Book"/>
          <w:lang w:eastAsia="nb-NO" w:bidi="ar-SA"/>
        </w:rPr>
        <w:t>.</w:t>
      </w:r>
    </w:p>
    <w:p w14:paraId="4B9F506E" w14:textId="01472FA3" w:rsidR="00AC25F8" w:rsidRPr="00C97685" w:rsidRDefault="00AC25F8" w:rsidP="00D00857">
      <w:pPr>
        <w:shd w:val="clear" w:color="auto" w:fill="FFFFFF"/>
        <w:tabs>
          <w:tab w:val="left" w:pos="426"/>
          <w:tab w:val="left" w:pos="709"/>
        </w:tabs>
        <w:spacing w:before="240" w:after="240" w:line="240" w:lineRule="auto"/>
        <w:jc w:val="left"/>
        <w:rPr>
          <w:rFonts w:ascii="Franklin Gothic Book" w:eastAsia="Calibri" w:hAnsi="Franklin Gothic Book"/>
          <w:lang w:eastAsia="nb-NO" w:bidi="ar-SA"/>
        </w:rPr>
      </w:pPr>
      <w:r w:rsidRPr="00C97685">
        <w:rPr>
          <w:rFonts w:ascii="Franklin Gothic Book" w:eastAsia="Calibri" w:hAnsi="Franklin Gothic Book"/>
          <w:lang w:eastAsia="nb-NO" w:bidi="ar-SA"/>
        </w:rPr>
        <w:t xml:space="preserve">The </w:t>
      </w:r>
      <w:r w:rsidR="00900C31" w:rsidRPr="006C0E8F">
        <w:rPr>
          <w:rFonts w:ascii="Franklin Gothic Book" w:hAnsi="Franklin Gothic Book" w:cs="Calibri"/>
          <w:bCs/>
          <w:color w:val="00B0F0"/>
          <w:lang w:eastAsia="fr-FR" w:bidi="ar-SA"/>
        </w:rPr>
        <w:t>[</w:t>
      </w:r>
      <w:r w:rsidR="00BC01DC" w:rsidRPr="00C77C2E">
        <w:rPr>
          <w:rFonts w:ascii="Franklin Gothic Book" w:eastAsia="Calibri" w:hAnsi="Franklin Gothic Book"/>
          <w:color w:val="00B0F0"/>
          <w:lang w:eastAsia="nb-NO" w:bidi="ar-SA"/>
        </w:rPr>
        <w:t>national secretariat or consultant</w:t>
      </w:r>
      <w:r w:rsidR="00900C31" w:rsidRPr="006C0E8F">
        <w:rPr>
          <w:rFonts w:ascii="Franklin Gothic Book" w:hAnsi="Franklin Gothic Book" w:cs="Calibri"/>
          <w:bCs/>
          <w:color w:val="00B0F0"/>
          <w:lang w:eastAsia="fr-FR" w:bidi="ar-SA"/>
        </w:rPr>
        <w:t>]</w:t>
      </w:r>
      <w:r w:rsidR="00BC01DC">
        <w:rPr>
          <w:rFonts w:ascii="Franklin Gothic Book" w:eastAsia="Calibri" w:hAnsi="Franklin Gothic Book"/>
          <w:color w:val="00B0F0"/>
          <w:lang w:eastAsia="nb-NO" w:bidi="ar-SA"/>
        </w:rPr>
        <w:t xml:space="preserve"> </w:t>
      </w:r>
      <w:r w:rsidRPr="00C97685">
        <w:rPr>
          <w:rFonts w:ascii="Franklin Gothic Book" w:eastAsia="Calibri" w:hAnsi="Franklin Gothic Book"/>
          <w:lang w:eastAsia="nb-NO" w:bidi="ar-SA"/>
        </w:rPr>
        <w:t>is expected to:</w:t>
      </w:r>
    </w:p>
    <w:p w14:paraId="100AC9A2" w14:textId="288AA8EB" w:rsidR="004302B0" w:rsidRPr="002F3E5D" w:rsidRDefault="00B171F2" w:rsidP="68CBBC64">
      <w:pPr>
        <w:pStyle w:val="ListParagraph"/>
        <w:numPr>
          <w:ilvl w:val="0"/>
          <w:numId w:val="46"/>
        </w:numPr>
        <w:shd w:val="clear" w:color="auto" w:fill="FFFFFF" w:themeFill="background1"/>
        <w:tabs>
          <w:tab w:val="left" w:pos="426"/>
          <w:tab w:val="left" w:pos="709"/>
        </w:tabs>
        <w:spacing w:before="240" w:after="240" w:line="240" w:lineRule="auto"/>
        <w:jc w:val="left"/>
        <w:rPr>
          <w:rFonts w:ascii="Franklin Gothic Book" w:eastAsia="Calibri" w:hAnsi="Franklin Gothic Book"/>
          <w:lang w:eastAsia="nb-NO" w:bidi="ar-SA"/>
        </w:rPr>
      </w:pPr>
      <w:r w:rsidRPr="002F3E5D">
        <w:rPr>
          <w:rFonts w:ascii="Franklin Gothic Book" w:eastAsia="Calibri" w:hAnsi="Franklin Gothic Book"/>
          <w:b/>
          <w:bCs/>
          <w:lang w:eastAsia="nb-NO" w:bidi="ar-SA"/>
        </w:rPr>
        <w:t>Submit the EITI Report upon approval to the MSG</w:t>
      </w:r>
      <w:r w:rsidRPr="002F3E5D">
        <w:rPr>
          <w:rFonts w:ascii="Franklin Gothic Book" w:eastAsia="Calibri" w:hAnsi="Franklin Gothic Book"/>
          <w:lang w:eastAsia="nb-NO" w:bidi="ar-SA"/>
        </w:rPr>
        <w:t>. The MSG will endorse the report prior to its publication and will oversee its publication. Authorship of the report should be clearly indicated</w:t>
      </w:r>
      <w:r w:rsidR="001B489C" w:rsidRPr="002F3E5D">
        <w:rPr>
          <w:rFonts w:ascii="Franklin Gothic Book" w:eastAsia="Calibri" w:hAnsi="Franklin Gothic Book"/>
          <w:lang w:eastAsia="nb-NO" w:bidi="ar-SA"/>
        </w:rPr>
        <w:t xml:space="preserve">. Where </w:t>
      </w:r>
      <w:r w:rsidR="00492549" w:rsidRPr="002F3E5D">
        <w:rPr>
          <w:rFonts w:ascii="Franklin Gothic Book" w:eastAsia="Calibri" w:hAnsi="Franklin Gothic Book"/>
          <w:lang w:eastAsia="nb-NO" w:bidi="ar-SA"/>
        </w:rPr>
        <w:t>the C</w:t>
      </w:r>
      <w:r w:rsidR="11B49B64" w:rsidRPr="002F3E5D">
        <w:rPr>
          <w:rFonts w:ascii="Franklin Gothic Book" w:eastAsia="Calibri" w:hAnsi="Franklin Gothic Book"/>
          <w:lang w:eastAsia="nb-NO" w:bidi="ar-SA"/>
        </w:rPr>
        <w:t>ovid</w:t>
      </w:r>
      <w:r w:rsidR="00492549" w:rsidRPr="002F3E5D">
        <w:rPr>
          <w:rFonts w:ascii="Franklin Gothic Book" w:eastAsia="Calibri" w:hAnsi="Franklin Gothic Book"/>
          <w:lang w:eastAsia="nb-NO" w:bidi="ar-SA"/>
        </w:rPr>
        <w:t>-19 pandemic poses challenges on the ability of MSGs to convene, national secretariats and MSG should take reasonable steps to seek MSG comments and approval.</w:t>
      </w:r>
      <w:r w:rsidR="00492549">
        <w:rPr>
          <w:rStyle w:val="FootnoteReference"/>
          <w:rFonts w:ascii="Franklin Gothic Book" w:eastAsia="Calibri" w:hAnsi="Franklin Gothic Book"/>
          <w:lang w:eastAsia="nb-NO" w:bidi="ar-SA"/>
        </w:rPr>
        <w:footnoteReference w:id="14"/>
      </w:r>
    </w:p>
    <w:p w14:paraId="302F23E5" w14:textId="77777777" w:rsidR="00D00857" w:rsidRPr="00C97685" w:rsidRDefault="00D00857" w:rsidP="00D00857">
      <w:pPr>
        <w:pStyle w:val="ListParagraph"/>
        <w:ind w:left="643"/>
        <w:jc w:val="left"/>
        <w:rPr>
          <w:rFonts w:ascii="Franklin Gothic Book" w:eastAsia="Calibri" w:hAnsi="Franklin Gothic Book"/>
          <w:lang w:eastAsia="nb-NO" w:bidi="ar-SA"/>
        </w:rPr>
      </w:pPr>
    </w:p>
    <w:p w14:paraId="51443128" w14:textId="5CA9175B" w:rsidR="00D00857" w:rsidRPr="00C97685" w:rsidRDefault="00B171F2" w:rsidP="002F3E5D">
      <w:pPr>
        <w:pStyle w:val="ListParagraph"/>
        <w:numPr>
          <w:ilvl w:val="0"/>
          <w:numId w:val="46"/>
        </w:numPr>
        <w:shd w:val="clear" w:color="auto" w:fill="FFFFFF"/>
        <w:tabs>
          <w:tab w:val="left" w:pos="426"/>
          <w:tab w:val="left" w:pos="709"/>
        </w:tabs>
        <w:spacing w:before="240" w:after="240" w:line="240" w:lineRule="auto"/>
        <w:ind w:left="697" w:hanging="340"/>
        <w:jc w:val="left"/>
        <w:rPr>
          <w:rFonts w:eastAsia="Calibri"/>
          <w:i/>
          <w:sz w:val="20"/>
          <w:szCs w:val="20"/>
          <w:lang w:eastAsia="nb-NO" w:bidi="ar-SA"/>
        </w:rPr>
      </w:pPr>
      <w:r w:rsidRPr="002F3E5D">
        <w:rPr>
          <w:rFonts w:ascii="Franklin Gothic Book" w:eastAsia="Calibri" w:hAnsi="Franklin Gothic Book"/>
          <w:b/>
          <w:bCs/>
          <w:lang w:eastAsia="nb-NO" w:bidi="ar-SA"/>
        </w:rPr>
        <w:t>Prepare and submit summary data</w:t>
      </w:r>
      <w:r w:rsidRPr="00C97685">
        <w:rPr>
          <w:rFonts w:ascii="Franklin Gothic Book" w:eastAsia="Calibri" w:hAnsi="Franklin Gothic Book"/>
          <w:lang w:eastAsia="nb-NO" w:bidi="ar-SA"/>
        </w:rPr>
        <w:t xml:space="preserve"> from the disclosures electronically to the International Secretariat according to the standardised reporting format</w:t>
      </w:r>
      <w:r w:rsidR="00F65CFF">
        <w:rPr>
          <w:rFonts w:ascii="Franklin Gothic Book" w:eastAsia="Calibri" w:hAnsi="Franklin Gothic Book"/>
          <w:lang w:eastAsia="nb-NO" w:bidi="ar-SA"/>
        </w:rPr>
        <w:t>.</w:t>
      </w:r>
      <w:r w:rsidRPr="00C97685">
        <w:rPr>
          <w:rStyle w:val="FootnoteReference"/>
          <w:rFonts w:ascii="Franklin Gothic Book" w:eastAsia="Calibri" w:hAnsi="Franklin Gothic Book"/>
          <w:lang w:eastAsia="nb-NO" w:bidi="ar-SA"/>
        </w:rPr>
        <w:footnoteReference w:id="15"/>
      </w:r>
    </w:p>
    <w:p w14:paraId="62CA2DCC" w14:textId="55714A2F" w:rsidR="00E010FF" w:rsidRPr="00FD1ABC" w:rsidRDefault="00C97685" w:rsidP="00087E80">
      <w:pPr>
        <w:pStyle w:val="Heading1"/>
        <w:rPr>
          <w:rFonts w:ascii="Franklin Gothic Book" w:eastAsia="Calibri" w:hAnsi="Franklin Gothic Book"/>
          <w:lang w:eastAsia="nb-NO" w:bidi="ar-SA"/>
        </w:rPr>
      </w:pPr>
      <w:bookmarkStart w:id="16" w:name="_Toc420357367"/>
      <w:bookmarkStart w:id="17" w:name="_Toc420357624"/>
      <w:bookmarkStart w:id="18" w:name="_Toc420362733"/>
      <w:bookmarkStart w:id="19" w:name="_Toc42596341"/>
      <w:r>
        <w:rPr>
          <w:rFonts w:ascii="Franklin Gothic Book" w:eastAsia="Calibri" w:hAnsi="Franklin Gothic Book"/>
          <w:lang w:eastAsia="nb-NO" w:bidi="ar-SA"/>
        </w:rPr>
        <w:lastRenderedPageBreak/>
        <w:t>T</w:t>
      </w:r>
      <w:r w:rsidR="004F652B" w:rsidRPr="00FD1ABC">
        <w:rPr>
          <w:rFonts w:ascii="Franklin Gothic Book" w:eastAsia="Calibri" w:hAnsi="Franklin Gothic Book"/>
          <w:lang w:eastAsia="nb-NO" w:bidi="ar-SA"/>
        </w:rPr>
        <w:t xml:space="preserve">ime schedule for </w:t>
      </w:r>
      <w:bookmarkEnd w:id="16"/>
      <w:bookmarkEnd w:id="17"/>
      <w:bookmarkEnd w:id="18"/>
      <w:r>
        <w:rPr>
          <w:rFonts w:ascii="Franklin Gothic Book" w:eastAsia="Calibri" w:hAnsi="Franklin Gothic Book"/>
          <w:lang w:eastAsia="nb-NO" w:bidi="ar-SA"/>
        </w:rPr>
        <w:t>reporting</w:t>
      </w:r>
      <w:bookmarkEnd w:id="19"/>
    </w:p>
    <w:p w14:paraId="4B3AE20E" w14:textId="53F12494" w:rsidR="00C97685" w:rsidRDefault="00E010FF" w:rsidP="68CBBC64">
      <w:pPr>
        <w:shd w:val="clear" w:color="auto" w:fill="FFFFFF" w:themeFill="background1"/>
        <w:tabs>
          <w:tab w:val="left" w:pos="426"/>
          <w:tab w:val="left" w:pos="709"/>
        </w:tabs>
        <w:spacing w:before="240" w:after="240" w:line="240" w:lineRule="auto"/>
        <w:jc w:val="left"/>
        <w:rPr>
          <w:rFonts w:ascii="Franklin Gothic Book" w:eastAsia="Calibri" w:hAnsi="Franklin Gothic Book" w:cs="Calibri"/>
          <w:lang w:eastAsia="nb-NO" w:bidi="ar-SA"/>
        </w:rPr>
      </w:pPr>
      <w:r w:rsidRPr="68CBBC64">
        <w:rPr>
          <w:rFonts w:ascii="Franklin Gothic Book" w:eastAsia="Calibri" w:hAnsi="Franklin Gothic Book" w:cs="Calibri"/>
          <w:lang w:eastAsia="nb-NO" w:bidi="ar-SA"/>
        </w:rPr>
        <w:t>The</w:t>
      </w:r>
      <w:r w:rsidR="002B7C3D" w:rsidRPr="68CBBC64">
        <w:rPr>
          <w:rFonts w:ascii="Franklin Gothic Book" w:eastAsia="Calibri" w:hAnsi="Franklin Gothic Book" w:cs="Calibri"/>
          <w:lang w:eastAsia="nb-NO" w:bidi="ar-SA"/>
        </w:rPr>
        <w:t xml:space="preserve"> </w:t>
      </w:r>
      <w:r w:rsidR="00C97685" w:rsidRPr="68CBBC64">
        <w:rPr>
          <w:rFonts w:ascii="Franklin Gothic Book" w:eastAsia="Calibri" w:hAnsi="Franklin Gothic Book" w:cs="Calibri"/>
          <w:lang w:eastAsia="nb-NO" w:bidi="ar-SA"/>
        </w:rPr>
        <w:t>MSG and national secretariat should set out a time schedule for reporting which takes potential risks posed by the C</w:t>
      </w:r>
      <w:r w:rsidR="6D57E0D0" w:rsidRPr="68CBBC64">
        <w:rPr>
          <w:rFonts w:ascii="Franklin Gothic Book" w:eastAsia="Calibri" w:hAnsi="Franklin Gothic Book" w:cs="Calibri"/>
          <w:lang w:eastAsia="nb-NO" w:bidi="ar-SA"/>
        </w:rPr>
        <w:t>ovid</w:t>
      </w:r>
      <w:r w:rsidR="00C97685" w:rsidRPr="68CBBC64">
        <w:rPr>
          <w:rFonts w:ascii="Franklin Gothic Book" w:eastAsia="Calibri" w:hAnsi="Franklin Gothic Book" w:cs="Calibri"/>
          <w:lang w:eastAsia="nb-NO" w:bidi="ar-SA"/>
        </w:rPr>
        <w:t>-19 pandemic and restrictions on movements and public gatherings into account. Safeguarding of public health and safety measures is essential and should come first.</w:t>
      </w:r>
    </w:p>
    <w:p w14:paraId="62CA2DCD" w14:textId="72FB998F" w:rsidR="00E010FF" w:rsidRPr="00FD1ABC" w:rsidRDefault="00C97685" w:rsidP="00E010FF">
      <w:pPr>
        <w:shd w:val="clear" w:color="auto" w:fill="FFFFFF"/>
        <w:tabs>
          <w:tab w:val="left" w:pos="426"/>
          <w:tab w:val="left" w:pos="709"/>
        </w:tabs>
        <w:spacing w:before="240" w:after="240" w:line="240" w:lineRule="auto"/>
        <w:jc w:val="left"/>
        <w:rPr>
          <w:rFonts w:ascii="Franklin Gothic Book" w:eastAsia="Calibri" w:hAnsi="Franklin Gothic Book" w:cs="Calibri"/>
          <w:lang w:eastAsia="nb-NO" w:bidi="ar-SA"/>
        </w:rPr>
      </w:pPr>
      <w:r>
        <w:rPr>
          <w:rFonts w:ascii="Franklin Gothic Book" w:eastAsia="Calibri" w:hAnsi="Franklin Gothic Book" w:cs="Calibri"/>
          <w:lang w:eastAsia="nb-NO" w:bidi="ar-SA"/>
        </w:rPr>
        <w:t xml:space="preserve">The </w:t>
      </w:r>
      <w:r w:rsidR="002B7C3D">
        <w:rPr>
          <w:rFonts w:ascii="Franklin Gothic Book" w:eastAsia="Calibri" w:hAnsi="Franklin Gothic Book" w:cs="Calibri"/>
          <w:lang w:eastAsia="nb-NO" w:bidi="ar-SA"/>
        </w:rPr>
        <w:t>reporting exercise</w:t>
      </w:r>
      <w:r>
        <w:rPr>
          <w:rFonts w:ascii="Franklin Gothic Book" w:eastAsia="Calibri" w:hAnsi="Franklin Gothic Book" w:cs="Calibri"/>
          <w:lang w:eastAsia="nb-NO" w:bidi="ar-SA"/>
        </w:rPr>
        <w:t xml:space="preserve"> is</w:t>
      </w:r>
      <w:r w:rsidR="002B7C3D">
        <w:rPr>
          <w:rFonts w:ascii="Franklin Gothic Book" w:eastAsia="Calibri" w:hAnsi="Franklin Gothic Book" w:cs="Calibri"/>
          <w:lang w:eastAsia="nb-NO" w:bidi="ar-SA"/>
        </w:rPr>
        <w:t xml:space="preserve"> </w:t>
      </w:r>
      <w:r w:rsidR="00E010FF" w:rsidRPr="00FD1ABC">
        <w:rPr>
          <w:rFonts w:ascii="Franklin Gothic Book" w:eastAsia="Calibri" w:hAnsi="Franklin Gothic Book" w:cs="Calibri"/>
          <w:lang w:eastAsia="nb-NO" w:bidi="ar-SA"/>
        </w:rPr>
        <w:t xml:space="preserve">expected to commence on </w:t>
      </w:r>
      <w:r w:rsidR="00E010FF" w:rsidRPr="00FD1ABC">
        <w:rPr>
          <w:rFonts w:ascii="Franklin Gothic Book" w:eastAsia="Calibri" w:hAnsi="Franklin Gothic Book" w:cs="Calibri"/>
          <w:color w:val="0070C0"/>
          <w:lang w:eastAsia="nb-NO" w:bidi="ar-SA"/>
        </w:rPr>
        <w:t>[date]</w:t>
      </w:r>
      <w:r w:rsidR="00E010FF" w:rsidRPr="00FD1ABC">
        <w:rPr>
          <w:rFonts w:ascii="Franklin Gothic Book" w:eastAsia="Calibri" w:hAnsi="Franklin Gothic Book" w:cs="Calibri"/>
          <w:lang w:eastAsia="nb-NO" w:bidi="ar-SA"/>
        </w:rPr>
        <w:t xml:space="preserve">, culminating in the finalisation of the EITI </w:t>
      </w:r>
      <w:r w:rsidR="00871094">
        <w:rPr>
          <w:rFonts w:ascii="Franklin Gothic Book" w:eastAsia="Calibri" w:hAnsi="Franklin Gothic Book" w:cs="Calibri"/>
          <w:lang w:eastAsia="nb-NO" w:bidi="ar-SA"/>
        </w:rPr>
        <w:t>disclosures</w:t>
      </w:r>
      <w:r w:rsidR="00E010FF" w:rsidRPr="00FD1ABC">
        <w:rPr>
          <w:rFonts w:ascii="Franklin Gothic Book" w:eastAsia="Calibri" w:hAnsi="Franklin Gothic Book" w:cs="Calibri"/>
          <w:lang w:eastAsia="nb-NO" w:bidi="ar-SA"/>
        </w:rPr>
        <w:t xml:space="preserve"> by </w:t>
      </w:r>
      <w:r w:rsidR="00E010FF" w:rsidRPr="00FD1ABC">
        <w:rPr>
          <w:rFonts w:ascii="Franklin Gothic Book" w:eastAsia="Calibri" w:hAnsi="Franklin Gothic Book" w:cs="Calibri"/>
          <w:color w:val="0070C0"/>
          <w:lang w:eastAsia="nb-NO" w:bidi="ar-SA"/>
        </w:rPr>
        <w:t>[date</w:t>
      </w:r>
      <w:r w:rsidR="0046156F">
        <w:rPr>
          <w:rFonts w:ascii="Franklin Gothic Book" w:eastAsia="Calibri" w:hAnsi="Franklin Gothic Book" w:cs="Calibri"/>
          <w:color w:val="0070C0"/>
          <w:lang w:eastAsia="nb-NO" w:bidi="ar-SA"/>
        </w:rPr>
        <w:t xml:space="preserve"> – 31 December 202</w:t>
      </w:r>
      <w:r w:rsidR="0037740C">
        <w:rPr>
          <w:rFonts w:ascii="Franklin Gothic Book" w:eastAsia="Calibri" w:hAnsi="Franklin Gothic Book" w:cs="Calibri"/>
          <w:color w:val="0070C0"/>
          <w:lang w:eastAsia="nb-NO" w:bidi="ar-SA"/>
        </w:rPr>
        <w:t>1</w:t>
      </w:r>
      <w:r w:rsidR="0046156F">
        <w:rPr>
          <w:rFonts w:ascii="Franklin Gothic Book" w:eastAsia="Calibri" w:hAnsi="Franklin Gothic Book" w:cs="Calibri"/>
          <w:color w:val="0070C0"/>
          <w:lang w:eastAsia="nb-NO" w:bidi="ar-SA"/>
        </w:rPr>
        <w:t xml:space="preserve"> latest</w:t>
      </w:r>
      <w:r w:rsidR="00E010FF" w:rsidRPr="00FD1ABC">
        <w:rPr>
          <w:rFonts w:ascii="Franklin Gothic Book" w:eastAsia="Calibri" w:hAnsi="Franklin Gothic Book" w:cs="Calibri"/>
          <w:color w:val="0070C0"/>
          <w:lang w:eastAsia="nb-NO" w:bidi="ar-SA"/>
        </w:rPr>
        <w:t>]</w:t>
      </w:r>
      <w:r w:rsidR="00E010FF" w:rsidRPr="00FD1ABC">
        <w:rPr>
          <w:rFonts w:ascii="Franklin Gothic Book" w:eastAsia="Calibri" w:hAnsi="Franklin Gothic Book" w:cs="Calibri"/>
          <w:lang w:eastAsia="nb-NO" w:bidi="ar-SA"/>
        </w:rPr>
        <w:t>. The proposed schedule is set out below</w:t>
      </w:r>
      <w:r w:rsidR="001A6ECF" w:rsidRPr="00FD1ABC">
        <w:rPr>
          <w:rFonts w:ascii="Franklin Gothic Book" w:eastAsia="Calibri" w:hAnsi="Franklin Gothic Book" w:cs="Calibri"/>
          <w:lang w:eastAsia="nb-NO" w:bidi="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D16617" w:rsidRPr="00233966" w14:paraId="2E28D570" w14:textId="77777777" w:rsidTr="00D16617">
        <w:tc>
          <w:tcPr>
            <w:tcW w:w="4643" w:type="dxa"/>
            <w:shd w:val="clear" w:color="auto" w:fill="auto"/>
          </w:tcPr>
          <w:p w14:paraId="1A868F6F" w14:textId="77777777" w:rsidR="00D16617" w:rsidRPr="00FD1ABC" w:rsidRDefault="00D16617" w:rsidP="00D16617">
            <w:pPr>
              <w:tabs>
                <w:tab w:val="left" w:pos="426"/>
                <w:tab w:val="left" w:pos="709"/>
              </w:tabs>
              <w:spacing w:before="120" w:after="120" w:line="240" w:lineRule="auto"/>
              <w:jc w:val="left"/>
              <w:rPr>
                <w:rFonts w:ascii="Franklin Gothic Book" w:eastAsia="Calibri" w:hAnsi="Franklin Gothic Book" w:cs="Calibri"/>
                <w:lang w:eastAsia="nb-NO" w:bidi="ar-SA"/>
              </w:rPr>
            </w:pPr>
            <w:r w:rsidRPr="00FD1ABC">
              <w:rPr>
                <w:rFonts w:ascii="Franklin Gothic Book" w:eastAsia="Calibri" w:hAnsi="Franklin Gothic Book" w:cs="Calibri"/>
                <w:lang w:eastAsia="nb-NO" w:bidi="ar-SA"/>
              </w:rPr>
              <w:t>Signing of contract</w:t>
            </w:r>
          </w:p>
        </w:tc>
        <w:tc>
          <w:tcPr>
            <w:tcW w:w="4644" w:type="dxa"/>
            <w:shd w:val="clear" w:color="auto" w:fill="auto"/>
          </w:tcPr>
          <w:p w14:paraId="3739596F" w14:textId="77777777" w:rsidR="00D16617" w:rsidRPr="00FD1ABC" w:rsidRDefault="00D16617" w:rsidP="00D16617">
            <w:pPr>
              <w:tabs>
                <w:tab w:val="left" w:pos="426"/>
                <w:tab w:val="left" w:pos="709"/>
              </w:tabs>
              <w:spacing w:before="120" w:after="120" w:line="240" w:lineRule="auto"/>
              <w:jc w:val="left"/>
              <w:rPr>
                <w:rFonts w:ascii="Franklin Gothic Book" w:eastAsia="Calibri" w:hAnsi="Franklin Gothic Book" w:cs="Calibri"/>
                <w:color w:val="0070C0"/>
                <w:lang w:eastAsia="nb-NO" w:bidi="ar-SA"/>
              </w:rPr>
            </w:pPr>
            <w:r w:rsidRPr="00FD1ABC">
              <w:rPr>
                <w:rFonts w:ascii="Franklin Gothic Book" w:eastAsia="Calibri" w:hAnsi="Franklin Gothic Book" w:cs="Calibri"/>
                <w:color w:val="0070C0"/>
                <w:lang w:eastAsia="nb-NO" w:bidi="ar-SA"/>
              </w:rPr>
              <w:t>[date]</w:t>
            </w:r>
          </w:p>
        </w:tc>
      </w:tr>
      <w:tr w:rsidR="00D16617" w:rsidRPr="00233966" w14:paraId="267BED49" w14:textId="77777777" w:rsidTr="00D16617">
        <w:tc>
          <w:tcPr>
            <w:tcW w:w="4643" w:type="dxa"/>
            <w:shd w:val="clear" w:color="auto" w:fill="auto"/>
          </w:tcPr>
          <w:p w14:paraId="4152CC78" w14:textId="4AE4611E" w:rsidR="00C97685" w:rsidRPr="00FD1ABC" w:rsidRDefault="00D16617" w:rsidP="00C97685">
            <w:pPr>
              <w:tabs>
                <w:tab w:val="left" w:pos="426"/>
                <w:tab w:val="left" w:pos="709"/>
              </w:tabs>
              <w:spacing w:before="120" w:after="120" w:line="240" w:lineRule="auto"/>
              <w:jc w:val="left"/>
              <w:rPr>
                <w:rFonts w:ascii="Franklin Gothic Book" w:eastAsia="Calibri" w:hAnsi="Franklin Gothic Book" w:cs="Calibri"/>
                <w:lang w:eastAsia="nb-NO" w:bidi="ar-SA"/>
              </w:rPr>
            </w:pPr>
            <w:r w:rsidRPr="00FD1ABC">
              <w:rPr>
                <w:rFonts w:ascii="Franklin Gothic Book" w:eastAsia="Calibri" w:hAnsi="Franklin Gothic Book" w:cs="Calibri"/>
                <w:lang w:eastAsia="nb-NO" w:bidi="ar-SA"/>
              </w:rPr>
              <w:t xml:space="preserve">Phase </w:t>
            </w:r>
            <w:r w:rsidR="00140ECD" w:rsidRPr="00FD1ABC">
              <w:rPr>
                <w:rFonts w:ascii="Franklin Gothic Book" w:eastAsia="Calibri" w:hAnsi="Franklin Gothic Book" w:cs="Calibri"/>
                <w:lang w:eastAsia="nb-NO" w:bidi="ar-SA"/>
              </w:rPr>
              <w:t>1</w:t>
            </w:r>
            <w:r w:rsidRPr="00FD1ABC">
              <w:rPr>
                <w:rFonts w:ascii="Franklin Gothic Book" w:eastAsia="Calibri" w:hAnsi="Franklin Gothic Book" w:cs="Calibri"/>
                <w:lang w:eastAsia="nb-NO" w:bidi="ar-SA"/>
              </w:rPr>
              <w:t xml:space="preserve">: </w:t>
            </w:r>
            <w:r w:rsidR="00C97685">
              <w:rPr>
                <w:rFonts w:ascii="Franklin Gothic Book" w:eastAsia="Calibri" w:hAnsi="Franklin Gothic Book" w:cs="Calibri"/>
                <w:lang w:eastAsia="nb-NO" w:bidi="ar-SA"/>
              </w:rPr>
              <w:t>Setting objectives</w:t>
            </w:r>
          </w:p>
        </w:tc>
        <w:tc>
          <w:tcPr>
            <w:tcW w:w="4644" w:type="dxa"/>
            <w:shd w:val="clear" w:color="auto" w:fill="auto"/>
          </w:tcPr>
          <w:p w14:paraId="207AEA51" w14:textId="77777777" w:rsidR="00D16617" w:rsidRPr="00FD1ABC" w:rsidRDefault="00D16617" w:rsidP="00D16617">
            <w:pPr>
              <w:tabs>
                <w:tab w:val="left" w:pos="426"/>
                <w:tab w:val="left" w:pos="709"/>
              </w:tabs>
              <w:spacing w:before="120" w:after="120" w:line="240" w:lineRule="auto"/>
              <w:jc w:val="left"/>
              <w:rPr>
                <w:rFonts w:ascii="Franklin Gothic Book" w:eastAsia="Calibri" w:hAnsi="Franklin Gothic Book" w:cs="Calibri"/>
                <w:lang w:eastAsia="nb-NO" w:bidi="ar-SA"/>
              </w:rPr>
            </w:pPr>
            <w:r w:rsidRPr="00FD1ABC">
              <w:rPr>
                <w:rFonts w:ascii="Franklin Gothic Book" w:eastAsia="Calibri" w:hAnsi="Franklin Gothic Book" w:cs="Calibri"/>
                <w:color w:val="0070C0"/>
                <w:lang w:eastAsia="nb-NO" w:bidi="ar-SA"/>
              </w:rPr>
              <w:t>[date]</w:t>
            </w:r>
            <w:r w:rsidRPr="00FD1ABC">
              <w:rPr>
                <w:rFonts w:ascii="Franklin Gothic Book" w:eastAsia="Calibri" w:hAnsi="Franklin Gothic Book" w:cs="Calibri"/>
                <w:lang w:eastAsia="nb-NO" w:bidi="ar-SA"/>
              </w:rPr>
              <w:t xml:space="preserve"> - </w:t>
            </w:r>
            <w:r w:rsidRPr="00FD1ABC">
              <w:rPr>
                <w:rFonts w:ascii="Franklin Gothic Book" w:eastAsia="Calibri" w:hAnsi="Franklin Gothic Book" w:cs="Calibri"/>
                <w:color w:val="0070C0"/>
                <w:lang w:eastAsia="nb-NO" w:bidi="ar-SA"/>
              </w:rPr>
              <w:t>[date]</w:t>
            </w:r>
          </w:p>
        </w:tc>
      </w:tr>
      <w:tr w:rsidR="00D16617" w:rsidRPr="00233966" w14:paraId="09CBAAC9" w14:textId="77777777" w:rsidTr="00D16617">
        <w:tc>
          <w:tcPr>
            <w:tcW w:w="4643" w:type="dxa"/>
            <w:shd w:val="clear" w:color="auto" w:fill="auto"/>
          </w:tcPr>
          <w:p w14:paraId="22FD089A" w14:textId="14369D3F" w:rsidR="00C97685" w:rsidRPr="00FD1ABC" w:rsidRDefault="00D16617" w:rsidP="00A60A8A">
            <w:pPr>
              <w:tabs>
                <w:tab w:val="left" w:pos="426"/>
                <w:tab w:val="left" w:pos="709"/>
              </w:tabs>
              <w:spacing w:before="120" w:after="120" w:line="240" w:lineRule="auto"/>
              <w:jc w:val="left"/>
              <w:rPr>
                <w:rFonts w:ascii="Franklin Gothic Book" w:eastAsia="Calibri" w:hAnsi="Franklin Gothic Book" w:cs="Calibri"/>
                <w:lang w:eastAsia="nb-NO" w:bidi="ar-SA"/>
              </w:rPr>
            </w:pPr>
            <w:r w:rsidRPr="00FD1ABC">
              <w:rPr>
                <w:rFonts w:ascii="Franklin Gothic Book" w:eastAsia="Calibri" w:hAnsi="Franklin Gothic Book" w:cs="Calibri"/>
                <w:lang w:eastAsia="nb-NO" w:bidi="ar-SA"/>
              </w:rPr>
              <w:t xml:space="preserve">Phase </w:t>
            </w:r>
            <w:r w:rsidR="00A60A8A" w:rsidRPr="00FD1ABC">
              <w:rPr>
                <w:rFonts w:ascii="Franklin Gothic Book" w:eastAsia="Calibri" w:hAnsi="Franklin Gothic Book" w:cs="Calibri"/>
                <w:lang w:eastAsia="nb-NO" w:bidi="ar-SA"/>
              </w:rPr>
              <w:t>2</w:t>
            </w:r>
            <w:r w:rsidRPr="00FD1ABC">
              <w:rPr>
                <w:rFonts w:ascii="Franklin Gothic Book" w:eastAsia="Calibri" w:hAnsi="Franklin Gothic Book" w:cs="Calibri"/>
                <w:lang w:eastAsia="nb-NO" w:bidi="ar-SA"/>
              </w:rPr>
              <w:t xml:space="preserve">: </w:t>
            </w:r>
            <w:r w:rsidR="00C97685">
              <w:rPr>
                <w:rFonts w:ascii="Franklin Gothic Book" w:eastAsia="Calibri" w:hAnsi="Franklin Gothic Book" w:cs="Calibri"/>
                <w:lang w:eastAsia="nb-NO" w:bidi="ar-SA"/>
              </w:rPr>
              <w:t>Identifying scope</w:t>
            </w:r>
            <w:r w:rsidRPr="00FD1ABC">
              <w:rPr>
                <w:rFonts w:ascii="Franklin Gothic Book" w:eastAsia="Calibri" w:hAnsi="Franklin Gothic Book" w:cs="Calibri"/>
                <w:lang w:eastAsia="nb-NO" w:bidi="ar-SA"/>
              </w:rPr>
              <w:t xml:space="preserve"> </w:t>
            </w:r>
          </w:p>
        </w:tc>
        <w:tc>
          <w:tcPr>
            <w:tcW w:w="4644" w:type="dxa"/>
            <w:shd w:val="clear" w:color="auto" w:fill="auto"/>
          </w:tcPr>
          <w:p w14:paraId="603FC73F" w14:textId="77777777" w:rsidR="00D16617" w:rsidRPr="00FD1ABC" w:rsidRDefault="00D16617" w:rsidP="00D16617">
            <w:pPr>
              <w:tabs>
                <w:tab w:val="left" w:pos="426"/>
                <w:tab w:val="left" w:pos="709"/>
              </w:tabs>
              <w:spacing w:before="120" w:after="120" w:line="240" w:lineRule="auto"/>
              <w:jc w:val="left"/>
              <w:rPr>
                <w:rFonts w:ascii="Franklin Gothic Book" w:eastAsia="Calibri" w:hAnsi="Franklin Gothic Book" w:cs="Calibri"/>
                <w:lang w:eastAsia="nb-NO" w:bidi="ar-SA"/>
              </w:rPr>
            </w:pPr>
            <w:r w:rsidRPr="00FD1ABC">
              <w:rPr>
                <w:rFonts w:ascii="Franklin Gothic Book" w:eastAsia="Calibri" w:hAnsi="Franklin Gothic Book" w:cs="Calibri"/>
                <w:color w:val="0070C0"/>
                <w:lang w:eastAsia="nb-NO" w:bidi="ar-SA"/>
              </w:rPr>
              <w:t>[date]</w:t>
            </w:r>
            <w:r w:rsidRPr="00FD1ABC">
              <w:rPr>
                <w:rFonts w:ascii="Franklin Gothic Book" w:eastAsia="Calibri" w:hAnsi="Franklin Gothic Book" w:cs="Calibri"/>
                <w:lang w:eastAsia="nb-NO" w:bidi="ar-SA"/>
              </w:rPr>
              <w:t xml:space="preserve"> - </w:t>
            </w:r>
            <w:r w:rsidRPr="00FD1ABC">
              <w:rPr>
                <w:rFonts w:ascii="Franklin Gothic Book" w:eastAsia="Calibri" w:hAnsi="Franklin Gothic Book" w:cs="Calibri"/>
                <w:color w:val="0070C0"/>
                <w:lang w:eastAsia="nb-NO" w:bidi="ar-SA"/>
              </w:rPr>
              <w:t>[date]</w:t>
            </w:r>
          </w:p>
        </w:tc>
      </w:tr>
      <w:tr w:rsidR="00D16617" w:rsidRPr="00233966" w14:paraId="53328136" w14:textId="77777777" w:rsidTr="00D16617">
        <w:tc>
          <w:tcPr>
            <w:tcW w:w="4643" w:type="dxa"/>
            <w:shd w:val="clear" w:color="auto" w:fill="auto"/>
          </w:tcPr>
          <w:p w14:paraId="65638DE6" w14:textId="1A3A5586" w:rsidR="00C97685" w:rsidRPr="00FD1ABC" w:rsidRDefault="00D16617" w:rsidP="00A60A8A">
            <w:pPr>
              <w:tabs>
                <w:tab w:val="left" w:pos="426"/>
                <w:tab w:val="left" w:pos="709"/>
              </w:tabs>
              <w:spacing w:before="120" w:after="120" w:line="240" w:lineRule="auto"/>
              <w:jc w:val="left"/>
              <w:rPr>
                <w:rFonts w:ascii="Franklin Gothic Book" w:eastAsia="Calibri" w:hAnsi="Franklin Gothic Book"/>
                <w:lang w:eastAsia="nb-NO" w:bidi="ar-SA"/>
              </w:rPr>
            </w:pPr>
            <w:r w:rsidRPr="00FD1ABC">
              <w:rPr>
                <w:rFonts w:ascii="Franklin Gothic Book" w:eastAsia="Calibri" w:hAnsi="Franklin Gothic Book"/>
                <w:lang w:eastAsia="nb-NO" w:bidi="ar-SA"/>
              </w:rPr>
              <w:t xml:space="preserve">Phase </w:t>
            </w:r>
            <w:r w:rsidR="00A60A8A" w:rsidRPr="00FD1ABC">
              <w:rPr>
                <w:rFonts w:ascii="Franklin Gothic Book" w:eastAsia="Calibri" w:hAnsi="Franklin Gothic Book"/>
                <w:lang w:eastAsia="nb-NO" w:bidi="ar-SA"/>
              </w:rPr>
              <w:t>3</w:t>
            </w:r>
            <w:r w:rsidRPr="00FD1ABC">
              <w:rPr>
                <w:rFonts w:ascii="Franklin Gothic Book" w:eastAsia="Calibri" w:hAnsi="Franklin Gothic Book"/>
                <w:lang w:eastAsia="nb-NO" w:bidi="ar-SA"/>
              </w:rPr>
              <w:t xml:space="preserve">: </w:t>
            </w:r>
            <w:r w:rsidR="00C97685">
              <w:rPr>
                <w:rFonts w:ascii="Franklin Gothic Book" w:eastAsia="Calibri" w:hAnsi="Franklin Gothic Book"/>
                <w:lang w:eastAsia="nb-NO" w:bidi="ar-SA"/>
              </w:rPr>
              <w:t>Data compilation and collection</w:t>
            </w:r>
            <w:r w:rsidRPr="00FD1ABC">
              <w:rPr>
                <w:rFonts w:ascii="Franklin Gothic Book" w:eastAsia="Calibri" w:hAnsi="Franklin Gothic Book"/>
                <w:lang w:eastAsia="nb-NO" w:bidi="ar-SA"/>
              </w:rPr>
              <w:t xml:space="preserve"> </w:t>
            </w:r>
          </w:p>
        </w:tc>
        <w:tc>
          <w:tcPr>
            <w:tcW w:w="4644" w:type="dxa"/>
            <w:shd w:val="clear" w:color="auto" w:fill="auto"/>
          </w:tcPr>
          <w:p w14:paraId="3747A931" w14:textId="77777777" w:rsidR="00D16617" w:rsidRPr="00FD1ABC" w:rsidRDefault="00D16617" w:rsidP="00D16617">
            <w:pPr>
              <w:tabs>
                <w:tab w:val="left" w:pos="426"/>
                <w:tab w:val="left" w:pos="709"/>
              </w:tabs>
              <w:spacing w:before="120" w:after="120" w:line="240" w:lineRule="auto"/>
              <w:jc w:val="left"/>
              <w:rPr>
                <w:rFonts w:ascii="Franklin Gothic Book" w:eastAsia="Calibri" w:hAnsi="Franklin Gothic Book" w:cs="Calibri"/>
                <w:color w:val="0070C0"/>
                <w:lang w:eastAsia="nb-NO" w:bidi="ar-SA"/>
              </w:rPr>
            </w:pPr>
            <w:r w:rsidRPr="00FD1ABC">
              <w:rPr>
                <w:rFonts w:ascii="Franklin Gothic Book" w:eastAsia="Calibri" w:hAnsi="Franklin Gothic Book" w:cs="Calibri"/>
                <w:color w:val="0070C0"/>
                <w:lang w:eastAsia="nb-NO" w:bidi="ar-SA"/>
              </w:rPr>
              <w:t>[date]</w:t>
            </w:r>
            <w:r w:rsidRPr="00FD1ABC">
              <w:rPr>
                <w:rFonts w:ascii="Franklin Gothic Book" w:eastAsia="Calibri" w:hAnsi="Franklin Gothic Book" w:cs="Calibri"/>
                <w:lang w:eastAsia="nb-NO" w:bidi="ar-SA"/>
              </w:rPr>
              <w:t xml:space="preserve"> - </w:t>
            </w:r>
            <w:r w:rsidRPr="00FD1ABC">
              <w:rPr>
                <w:rFonts w:ascii="Franklin Gothic Book" w:eastAsia="Calibri" w:hAnsi="Franklin Gothic Book" w:cs="Calibri"/>
                <w:color w:val="0070C0"/>
                <w:lang w:eastAsia="nb-NO" w:bidi="ar-SA"/>
              </w:rPr>
              <w:t>[date]</w:t>
            </w:r>
          </w:p>
        </w:tc>
      </w:tr>
      <w:tr w:rsidR="00D16617" w:rsidRPr="00233966" w14:paraId="582E5216" w14:textId="77777777" w:rsidTr="00D16617">
        <w:tc>
          <w:tcPr>
            <w:tcW w:w="4643" w:type="dxa"/>
            <w:shd w:val="clear" w:color="auto" w:fill="auto"/>
          </w:tcPr>
          <w:p w14:paraId="060CAB0F" w14:textId="33C32B9B" w:rsidR="00C97685" w:rsidRPr="00FD1ABC" w:rsidRDefault="00D16617" w:rsidP="00A60A8A">
            <w:pPr>
              <w:tabs>
                <w:tab w:val="left" w:pos="426"/>
                <w:tab w:val="left" w:pos="709"/>
              </w:tabs>
              <w:spacing w:before="120" w:after="120" w:line="240" w:lineRule="auto"/>
              <w:jc w:val="left"/>
              <w:rPr>
                <w:rFonts w:ascii="Franklin Gothic Book" w:eastAsia="Calibri" w:hAnsi="Franklin Gothic Book"/>
                <w:lang w:eastAsia="nb-NO" w:bidi="ar-SA"/>
              </w:rPr>
            </w:pPr>
            <w:r w:rsidRPr="00FD1ABC">
              <w:rPr>
                <w:rFonts w:ascii="Franklin Gothic Book" w:eastAsia="Calibri" w:hAnsi="Franklin Gothic Book"/>
                <w:lang w:eastAsia="nb-NO" w:bidi="ar-SA"/>
              </w:rPr>
              <w:t xml:space="preserve">Phase </w:t>
            </w:r>
            <w:r w:rsidR="00A60A8A" w:rsidRPr="00FD1ABC">
              <w:rPr>
                <w:rFonts w:ascii="Franklin Gothic Book" w:eastAsia="Calibri" w:hAnsi="Franklin Gothic Book"/>
                <w:lang w:eastAsia="nb-NO" w:bidi="ar-SA"/>
              </w:rPr>
              <w:t>4</w:t>
            </w:r>
            <w:r w:rsidRPr="00FD1ABC">
              <w:rPr>
                <w:rFonts w:ascii="Franklin Gothic Book" w:eastAsia="Calibri" w:hAnsi="Franklin Gothic Book"/>
                <w:lang w:eastAsia="nb-NO" w:bidi="ar-SA"/>
              </w:rPr>
              <w:t xml:space="preserve">: </w:t>
            </w:r>
            <w:r w:rsidR="00C97685">
              <w:rPr>
                <w:rFonts w:ascii="Franklin Gothic Book" w:eastAsia="Calibri" w:hAnsi="Franklin Gothic Book"/>
                <w:lang w:eastAsia="nb-NO" w:bidi="ar-SA"/>
              </w:rPr>
              <w:t>Analysis and draft report</w:t>
            </w:r>
          </w:p>
        </w:tc>
        <w:tc>
          <w:tcPr>
            <w:tcW w:w="4644" w:type="dxa"/>
            <w:shd w:val="clear" w:color="auto" w:fill="auto"/>
          </w:tcPr>
          <w:p w14:paraId="2F0B1B98" w14:textId="77777777" w:rsidR="00D16617" w:rsidRPr="00FD1ABC" w:rsidRDefault="00D16617" w:rsidP="00D16617">
            <w:pPr>
              <w:tabs>
                <w:tab w:val="left" w:pos="426"/>
                <w:tab w:val="left" w:pos="709"/>
              </w:tabs>
              <w:spacing w:before="120" w:after="120" w:line="240" w:lineRule="auto"/>
              <w:jc w:val="left"/>
              <w:rPr>
                <w:rFonts w:ascii="Franklin Gothic Book" w:eastAsia="Calibri" w:hAnsi="Franklin Gothic Book" w:cs="Calibri"/>
                <w:color w:val="0070C0"/>
                <w:lang w:eastAsia="nb-NO" w:bidi="ar-SA"/>
              </w:rPr>
            </w:pPr>
            <w:r w:rsidRPr="00FD1ABC">
              <w:rPr>
                <w:rFonts w:ascii="Franklin Gothic Book" w:eastAsia="Calibri" w:hAnsi="Franklin Gothic Book" w:cs="Calibri"/>
                <w:color w:val="0070C0"/>
                <w:lang w:eastAsia="nb-NO" w:bidi="ar-SA"/>
              </w:rPr>
              <w:t>[date]</w:t>
            </w:r>
            <w:r w:rsidRPr="00FD1ABC">
              <w:rPr>
                <w:rFonts w:ascii="Franklin Gothic Book" w:eastAsia="Calibri" w:hAnsi="Franklin Gothic Book" w:cs="Calibri"/>
                <w:lang w:eastAsia="nb-NO" w:bidi="ar-SA"/>
              </w:rPr>
              <w:t xml:space="preserve"> - </w:t>
            </w:r>
            <w:r w:rsidRPr="00FD1ABC">
              <w:rPr>
                <w:rFonts w:ascii="Franklin Gothic Book" w:eastAsia="Calibri" w:hAnsi="Franklin Gothic Book" w:cs="Calibri"/>
                <w:color w:val="0070C0"/>
                <w:lang w:eastAsia="nb-NO" w:bidi="ar-SA"/>
              </w:rPr>
              <w:t>[date]</w:t>
            </w:r>
          </w:p>
        </w:tc>
      </w:tr>
      <w:tr w:rsidR="00A60A8A" w:rsidRPr="00233966" w14:paraId="3FC0D2C9" w14:textId="77777777" w:rsidTr="00D16617">
        <w:tc>
          <w:tcPr>
            <w:tcW w:w="4643" w:type="dxa"/>
            <w:shd w:val="clear" w:color="auto" w:fill="auto"/>
          </w:tcPr>
          <w:p w14:paraId="040FF4DB" w14:textId="12D94E07" w:rsidR="00A60A8A" w:rsidRPr="00FD1ABC" w:rsidRDefault="00A60A8A" w:rsidP="00A60A8A">
            <w:pPr>
              <w:tabs>
                <w:tab w:val="left" w:pos="426"/>
                <w:tab w:val="left" w:pos="709"/>
              </w:tabs>
              <w:spacing w:before="120" w:after="120" w:line="240" w:lineRule="auto"/>
              <w:jc w:val="left"/>
              <w:rPr>
                <w:rFonts w:ascii="Franklin Gothic Book" w:eastAsia="Calibri" w:hAnsi="Franklin Gothic Book"/>
                <w:lang w:eastAsia="nb-NO" w:bidi="ar-SA"/>
              </w:rPr>
            </w:pPr>
            <w:r w:rsidRPr="00FD1ABC">
              <w:rPr>
                <w:rFonts w:ascii="Franklin Gothic Book" w:eastAsia="Calibri" w:hAnsi="Franklin Gothic Book"/>
                <w:lang w:eastAsia="nb-NO" w:bidi="ar-SA"/>
              </w:rPr>
              <w:t>Phase 5: Final report</w:t>
            </w:r>
          </w:p>
        </w:tc>
        <w:tc>
          <w:tcPr>
            <w:tcW w:w="4644" w:type="dxa"/>
            <w:shd w:val="clear" w:color="auto" w:fill="auto"/>
          </w:tcPr>
          <w:p w14:paraId="73312762" w14:textId="77777777" w:rsidR="00A60A8A" w:rsidRPr="00FD1ABC" w:rsidRDefault="00A60A8A" w:rsidP="00D16617">
            <w:pPr>
              <w:tabs>
                <w:tab w:val="left" w:pos="426"/>
                <w:tab w:val="left" w:pos="709"/>
              </w:tabs>
              <w:spacing w:before="120" w:after="120" w:line="240" w:lineRule="auto"/>
              <w:jc w:val="left"/>
              <w:rPr>
                <w:rFonts w:ascii="Franklin Gothic Book" w:eastAsia="Calibri" w:hAnsi="Franklin Gothic Book" w:cs="Calibri"/>
                <w:color w:val="0070C0"/>
                <w:lang w:eastAsia="nb-NO" w:bidi="ar-SA"/>
              </w:rPr>
            </w:pPr>
            <w:r w:rsidRPr="00FD1ABC">
              <w:rPr>
                <w:rFonts w:ascii="Franklin Gothic Book" w:eastAsia="Calibri" w:hAnsi="Franklin Gothic Book" w:cs="Calibri"/>
                <w:color w:val="0070C0"/>
                <w:lang w:eastAsia="nb-NO" w:bidi="ar-SA"/>
              </w:rPr>
              <w:t>[date]</w:t>
            </w:r>
            <w:r w:rsidRPr="00FD1ABC">
              <w:rPr>
                <w:rFonts w:ascii="Franklin Gothic Book" w:eastAsia="Calibri" w:hAnsi="Franklin Gothic Book" w:cs="Calibri"/>
                <w:lang w:eastAsia="nb-NO" w:bidi="ar-SA"/>
              </w:rPr>
              <w:t xml:space="preserve"> - </w:t>
            </w:r>
            <w:r w:rsidRPr="00FD1ABC">
              <w:rPr>
                <w:rFonts w:ascii="Franklin Gothic Book" w:eastAsia="Calibri" w:hAnsi="Franklin Gothic Book" w:cs="Calibri"/>
                <w:color w:val="0070C0"/>
                <w:lang w:eastAsia="nb-NO" w:bidi="ar-SA"/>
              </w:rPr>
              <w:t>[date]</w:t>
            </w:r>
          </w:p>
        </w:tc>
      </w:tr>
    </w:tbl>
    <w:p w14:paraId="62CA2DE3" w14:textId="7805BC00" w:rsidR="00E010FF" w:rsidRPr="00FD1ABC" w:rsidRDefault="00E010FF" w:rsidP="00E010FF">
      <w:pPr>
        <w:shd w:val="clear" w:color="auto" w:fill="FFFFFF"/>
        <w:tabs>
          <w:tab w:val="left" w:pos="426"/>
          <w:tab w:val="left" w:pos="709"/>
        </w:tabs>
        <w:spacing w:before="240" w:after="240" w:line="240" w:lineRule="auto"/>
        <w:jc w:val="left"/>
        <w:rPr>
          <w:rFonts w:ascii="Franklin Gothic Book" w:eastAsia="Calibri" w:hAnsi="Franklin Gothic Book" w:cs="Calibri"/>
          <w:color w:val="0070C0"/>
          <w:lang w:eastAsia="nb-NO" w:bidi="ar-SA"/>
        </w:rPr>
      </w:pPr>
      <w:r w:rsidRPr="00FD1ABC">
        <w:rPr>
          <w:rFonts w:ascii="Franklin Gothic Book" w:eastAsia="Calibri" w:hAnsi="Franklin Gothic Book" w:cs="Calibri"/>
          <w:color w:val="0070C0"/>
          <w:lang w:eastAsia="nb-NO" w:bidi="ar-SA"/>
        </w:rPr>
        <w:t xml:space="preserve">[Add any additional information regarding other </w:t>
      </w:r>
      <w:r w:rsidR="002B7C3D">
        <w:rPr>
          <w:rFonts w:ascii="Franklin Gothic Book" w:eastAsia="Calibri" w:hAnsi="Franklin Gothic Book" w:cs="Calibri"/>
          <w:color w:val="0070C0"/>
          <w:lang w:eastAsia="nb-NO" w:bidi="ar-SA"/>
        </w:rPr>
        <w:t xml:space="preserve">activities, outputs or </w:t>
      </w:r>
      <w:r w:rsidRPr="00FD1ABC">
        <w:rPr>
          <w:rFonts w:ascii="Franklin Gothic Book" w:eastAsia="Calibri" w:hAnsi="Franklin Gothic Book" w:cs="Calibri"/>
          <w:color w:val="0070C0"/>
          <w:lang w:eastAsia="nb-NO" w:bidi="ar-SA"/>
        </w:rPr>
        <w:t>deliverables</w:t>
      </w:r>
      <w:r w:rsidR="002B7C3D">
        <w:rPr>
          <w:rFonts w:ascii="Franklin Gothic Book" w:eastAsia="Calibri" w:hAnsi="Franklin Gothic Book" w:cs="Calibri"/>
          <w:color w:val="0070C0"/>
          <w:lang w:eastAsia="nb-NO" w:bidi="ar-SA"/>
        </w:rPr>
        <w:t xml:space="preserve"> agreed </w:t>
      </w:r>
      <w:r w:rsidRPr="00FD1ABC">
        <w:rPr>
          <w:rFonts w:ascii="Franklin Gothic Book" w:eastAsia="Calibri" w:hAnsi="Franklin Gothic Book" w:cs="Calibri"/>
          <w:color w:val="0070C0"/>
          <w:lang w:eastAsia="nb-NO" w:bidi="ar-SA"/>
        </w:rPr>
        <w:t>by the MSG]</w:t>
      </w:r>
    </w:p>
    <w:sectPr w:rsidR="00E010FF" w:rsidRPr="00FD1ABC" w:rsidSect="002B7C3D">
      <w:headerReference w:type="default" r:id="rId11"/>
      <w:footerReference w:type="default" r:id="rId12"/>
      <w:headerReference w:type="first" r:id="rId13"/>
      <w:footerReference w:type="first" r:id="rId14"/>
      <w:pgSz w:w="11900" w:h="16820"/>
      <w:pgMar w:top="1134" w:right="1134" w:bottom="1134" w:left="1134" w:header="567" w:footer="7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EA128" w14:textId="77777777" w:rsidR="000E4A0E" w:rsidRDefault="000E4A0E">
      <w:pPr>
        <w:spacing w:after="0" w:line="240" w:lineRule="auto"/>
      </w:pPr>
      <w:r>
        <w:separator/>
      </w:r>
    </w:p>
  </w:endnote>
  <w:endnote w:type="continuationSeparator" w:id="0">
    <w:p w14:paraId="37424D81" w14:textId="77777777" w:rsidR="000E4A0E" w:rsidRDefault="000E4A0E">
      <w:pPr>
        <w:spacing w:after="0" w:line="240" w:lineRule="auto"/>
      </w:pPr>
      <w:r>
        <w:continuationSeparator/>
      </w:r>
    </w:p>
  </w:endnote>
  <w:endnote w:type="continuationNotice" w:id="1">
    <w:p w14:paraId="033B3118" w14:textId="77777777" w:rsidR="000E4A0E" w:rsidRDefault="000E4A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SemiCond">
    <w:altName w:val="Segoe UI"/>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Pro Light SemiCond">
    <w:altName w:val="Corbe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19D7A" w14:textId="651926EB" w:rsidR="00BC6B8C" w:rsidRPr="0076696E" w:rsidRDefault="00BC6B8C">
    <w:pPr>
      <w:pStyle w:val="Footer"/>
      <w:jc w:val="right"/>
      <w:rPr>
        <w:rFonts w:asciiTheme="minorHAnsi" w:hAnsiTheme="minorHAnsi"/>
      </w:rPr>
    </w:pPr>
    <w:r w:rsidRPr="00382E14">
      <w:rPr>
        <w:noProof/>
        <w:sz w:val="16"/>
        <w:szCs w:val="16"/>
      </w:rPr>
      <mc:AlternateContent>
        <mc:Choice Requires="wps">
          <w:drawing>
            <wp:anchor distT="0" distB="0" distL="114300" distR="114300" simplePos="0" relativeHeight="251658244" behindDoc="0" locked="0" layoutInCell="1" allowOverlap="1" wp14:anchorId="5F41E928" wp14:editId="396FAC9C">
              <wp:simplePos x="0" y="0"/>
              <wp:positionH relativeFrom="column">
                <wp:posOffset>-3653</wp:posOffset>
              </wp:positionH>
              <wp:positionV relativeFrom="paragraph">
                <wp:posOffset>115734</wp:posOffset>
              </wp:positionV>
              <wp:extent cx="6023610" cy="546754"/>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546754"/>
                      </a:xfrm>
                      <a:prstGeom prst="rect">
                        <a:avLst/>
                      </a:prstGeom>
                      <a:noFill/>
                      <a:ln>
                        <a:noFill/>
                      </a:ln>
                      <a:effectLst/>
                      <a:extLst>
                        <a:ext uri="{C572A759-6A51-4108-AA02-DFA0A04FC94B}"/>
                      </a:extLst>
                    </wps:spPr>
                    <wps:txbx>
                      <w:txbxContent>
                        <w:p w14:paraId="659F010F" w14:textId="77777777" w:rsidR="00BC6B8C" w:rsidRPr="00382E14" w:rsidRDefault="00BC6B8C" w:rsidP="00BA6A8A">
                          <w:pPr>
                            <w:spacing w:after="0"/>
                            <w:jc w:val="left"/>
                            <w:rPr>
                              <w:sz w:val="16"/>
                              <w:szCs w:val="16"/>
                            </w:rPr>
                          </w:pPr>
                          <w:r w:rsidRPr="000D0418">
                            <w:rPr>
                              <w:rFonts w:ascii="Franklin Gothic Book" w:hAnsi="Franklin Gothic Book"/>
                              <w:b/>
                              <w:sz w:val="16"/>
                              <w:szCs w:val="16"/>
                            </w:rPr>
                            <w:t>EITI International Secretariat</w:t>
                          </w:r>
                          <w:r w:rsidRPr="00382E14">
                            <w:rPr>
                              <w:sz w:val="16"/>
                              <w:szCs w:val="16"/>
                            </w:rPr>
                            <w:br/>
                          </w:r>
                          <w:r w:rsidRPr="000D0418">
                            <w:rPr>
                              <w:rFonts w:ascii="Franklin Gothic Book" w:hAnsi="Franklin Gothic Book"/>
                              <w:sz w:val="16"/>
                              <w:szCs w:val="16"/>
                            </w:rP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0D0418">
                            <w:rPr>
                              <w:rFonts w:ascii="Franklin Gothic Book" w:hAnsi="Franklin Gothic Book"/>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0D0418">
                            <w:rPr>
                              <w:rFonts w:ascii="Franklin Gothic Book" w:hAnsi="Franklin Gothic Book"/>
                              <w:sz w:val="16"/>
                              <w:szCs w:val="16"/>
                            </w:rPr>
                            <w:t>Twitter: @EITIorg</w:t>
                          </w:r>
                        </w:p>
                        <w:p w14:paraId="1FF889FF" w14:textId="77777777" w:rsidR="00BC6B8C" w:rsidRPr="00382E14" w:rsidRDefault="00BC6B8C" w:rsidP="00BA6A8A">
                          <w:pPr>
                            <w:spacing w:after="0"/>
                            <w:ind w:right="-12"/>
                            <w:jc w:val="left"/>
                            <w:rPr>
                              <w:sz w:val="16"/>
                              <w:szCs w:val="16"/>
                            </w:rPr>
                          </w:pPr>
                          <w:r w:rsidRPr="000D0418">
                            <w:rPr>
                              <w:rFonts w:ascii="Franklin Gothic Book" w:hAnsi="Franklin Gothic Book"/>
                              <w:sz w:val="16"/>
                              <w:szCs w:val="16"/>
                            </w:rPr>
                            <w:t>Address:</w:t>
                          </w:r>
                          <w:r w:rsidRPr="000D0418">
                            <w:rPr>
                              <w:rFonts w:ascii="Franklin Gothic Book" w:hAnsi="Franklin Gothic Book"/>
                              <w:b/>
                              <w:sz w:val="16"/>
                              <w:szCs w:val="16"/>
                            </w:rPr>
                            <w:t xml:space="preserve"> </w:t>
                          </w:r>
                          <w:proofErr w:type="spellStart"/>
                          <w:r w:rsidRPr="000D0418">
                            <w:rPr>
                              <w:rFonts w:ascii="Franklin Gothic Book" w:hAnsi="Franklin Gothic Book"/>
                              <w:sz w:val="16"/>
                              <w:szCs w:val="16"/>
                            </w:rPr>
                            <w:t>Rådhusgata</w:t>
                          </w:r>
                          <w:proofErr w:type="spellEnd"/>
                          <w:r w:rsidRPr="000D0418">
                            <w:rPr>
                              <w:rFonts w:ascii="Franklin Gothic Book" w:hAnsi="Franklin Gothic Book"/>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0D0418">
                            <w:rPr>
                              <w:rFonts w:ascii="Franklin Gothic Book" w:hAnsi="Franklin Gothic Book"/>
                              <w:sz w:val="16"/>
                              <w:szCs w:val="16"/>
                            </w:rPr>
                            <w:t>www.eiti.org</w:t>
                          </w:r>
                          <w:r w:rsidRPr="00382E14">
                            <w:rPr>
                              <w:sz w:val="16"/>
                              <w:szCs w:val="16"/>
                            </w:rPr>
                            <w:t xml:space="preserve">       </w:t>
                          </w:r>
                        </w:p>
                        <w:p w14:paraId="1CD2C48B" w14:textId="77777777" w:rsidR="00BC6B8C" w:rsidRPr="00382E14" w:rsidRDefault="00BC6B8C" w:rsidP="00BA6A8A">
                          <w:pPr>
                            <w:jc w:val="left"/>
                            <w:rPr>
                              <w:sz w:val="16"/>
                              <w:szCs w:val="16"/>
                            </w:rPr>
                          </w:pPr>
                        </w:p>
                        <w:p w14:paraId="5CCAD838" w14:textId="77777777" w:rsidR="00BC6B8C" w:rsidRPr="00382E14" w:rsidRDefault="00BC6B8C" w:rsidP="00BA6A8A">
                          <w:pPr>
                            <w:jc w:val="lef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F41E928" id="_x0000_t202" coordsize="21600,21600" o:spt="202" path="m,l,21600r21600,l21600,xe">
              <v:stroke joinstyle="miter"/>
              <v:path gradientshapeok="t" o:connecttype="rect"/>
            </v:shapetype>
            <v:shape id="Text Box 2" o:spid="_x0000_s1026" type="#_x0000_t202" style="position:absolute;left:0;text-align:left;margin-left:-.3pt;margin-top:9.1pt;width:474.3pt;height:43.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qUzMwIAAHAEAAAOAAAAZHJzL2Uyb0RvYy54bWysVEuP0zAQviPxHyzfadLSxxI1XZVdFSFV&#10;uyu1aM+uYzcRscfYbpPy6xk76YOFE+LijGc+z+ubyfy+VTU5Cusq0DkdDlJKhOZQVHqf02/b1Yc7&#10;SpxnumA1aJHTk3D0fvH+3bwxmRhBCXUhLEEn2mWNyWnpvcmSxPFSKOYGYIRGowSrmMer3SeFZQ16&#10;V3UyStNp0oAtjAUunEPtY2eki+hfSsH9s5ROeFLnFHPz8bTx3IUzWcxZtrfMlBXv02D/kIVilcag&#10;F1ePzDNysNUfrlTFLTiQfsBBJSBlxUWsAasZpm+q2ZTMiFgLNseZS5vc/3PLn44vllQFcjejRDOF&#10;HG1F68lnaMkotKcxLkPUxiDOt6hGaCzVmTXw7w4hyQ2me+AQHdrRSqvCFwsl+BAZOF26HqJwVE7T&#10;0cfpEE0cbZPxdDYZh7jJ9bWxzn8RoEgQcmqR1ZgBO66d76BnSAimYVXVNepZVuvfFOiz04g4Gv3r&#10;kH2XcJB8u2vxbRB3UJywagvd2DjDVxVmsGbOvzCLc4JJ4+z7ZzxkDU1OoZcoKcH+/Js+4JE+tFLS&#10;4Nzl1P04MCsoqb9qJPbTcDwOgxov48lshBd7a9ndWvRBPQCO9hC3zPAoBryvz6K0oF5xRZYhKpqY&#10;5hg7p/4sPvhuG3DFuFguIwhH0zC/1hvDz2SH/m7bV2ZNT4JH+p7gPKEse8NFh+2avzx4kFUk6trV&#10;fmpwrCPV/QqGvbm9R9T1R7H4BQAA//8DAFBLAwQUAAYACAAAACEAdOPlBdwAAAAIAQAADwAAAGRy&#10;cy9kb3ducmV2LnhtbEyPzU7DMBCE70i8g7VI3FqbEqo0xKkQiCuI8iNx28bbJCJeR7HbhLdnOcFx&#10;Z0az35Tb2ffqRGPsAlu4WhpQxHVwHTcW3l4fFzmomJAd9oHJwjdF2FbnZyUWLkz8QqddapSUcCzQ&#10;QpvSUGgd65Y8xmUYiMU7hNFjknNstBtxknLf65Uxa+2xY/nQ4kD3LdVfu6O38P50+PzIzHPz4G+G&#10;KcxGs99oay8v5rtbUInm9BeGX3xBh0qY9uHILqrewmItQZHzFSixN1ku0/YimOwadFXq/wOqHwAA&#10;AP//AwBQSwECLQAUAAYACAAAACEAtoM4kv4AAADhAQAAEwAAAAAAAAAAAAAAAAAAAAAAW0NvbnRl&#10;bnRfVHlwZXNdLnhtbFBLAQItABQABgAIAAAAIQA4/SH/1gAAAJQBAAALAAAAAAAAAAAAAAAAAC8B&#10;AABfcmVscy8ucmVsc1BLAQItABQABgAIAAAAIQCdOqUzMwIAAHAEAAAOAAAAAAAAAAAAAAAAAC4C&#10;AABkcnMvZTJvRG9jLnhtbFBLAQItABQABgAIAAAAIQB04+UF3AAAAAgBAAAPAAAAAAAAAAAAAAAA&#10;AI0EAABkcnMvZG93bnJldi54bWxQSwUGAAAAAAQABADzAAAAlgUAAAAA&#10;" filled="f" stroked="f">
              <v:textbox>
                <w:txbxContent>
                  <w:p w14:paraId="659F010F" w14:textId="77777777" w:rsidR="00BC6B8C" w:rsidRPr="00382E14" w:rsidRDefault="00BC6B8C" w:rsidP="00BA6A8A">
                    <w:pPr>
                      <w:spacing w:after="0"/>
                      <w:jc w:val="left"/>
                      <w:rPr>
                        <w:sz w:val="16"/>
                        <w:szCs w:val="16"/>
                      </w:rPr>
                    </w:pPr>
                    <w:r w:rsidRPr="000D0418">
                      <w:rPr>
                        <w:rFonts w:ascii="Franklin Gothic Book" w:hAnsi="Franklin Gothic Book"/>
                        <w:b/>
                        <w:sz w:val="16"/>
                        <w:szCs w:val="16"/>
                      </w:rPr>
                      <w:t>EITI International Secretariat</w:t>
                    </w:r>
                    <w:r w:rsidRPr="00382E14">
                      <w:rPr>
                        <w:sz w:val="16"/>
                        <w:szCs w:val="16"/>
                      </w:rPr>
                      <w:br/>
                    </w:r>
                    <w:r w:rsidRPr="000D0418">
                      <w:rPr>
                        <w:rFonts w:ascii="Franklin Gothic Book" w:hAnsi="Franklin Gothic Book"/>
                        <w:sz w:val="16"/>
                        <w:szCs w:val="16"/>
                      </w:rP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0D0418">
                      <w:rPr>
                        <w:rFonts w:ascii="Franklin Gothic Book" w:hAnsi="Franklin Gothic Book"/>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0D0418">
                      <w:rPr>
                        <w:rFonts w:ascii="Franklin Gothic Book" w:hAnsi="Franklin Gothic Book"/>
                        <w:sz w:val="16"/>
                        <w:szCs w:val="16"/>
                      </w:rPr>
                      <w:t>Twitter: @EITIorg</w:t>
                    </w:r>
                  </w:p>
                  <w:p w14:paraId="1FF889FF" w14:textId="77777777" w:rsidR="00BC6B8C" w:rsidRPr="00382E14" w:rsidRDefault="00BC6B8C" w:rsidP="00BA6A8A">
                    <w:pPr>
                      <w:spacing w:after="0"/>
                      <w:ind w:right="-12"/>
                      <w:jc w:val="left"/>
                      <w:rPr>
                        <w:sz w:val="16"/>
                        <w:szCs w:val="16"/>
                      </w:rPr>
                    </w:pPr>
                    <w:r w:rsidRPr="000D0418">
                      <w:rPr>
                        <w:rFonts w:ascii="Franklin Gothic Book" w:hAnsi="Franklin Gothic Book"/>
                        <w:sz w:val="16"/>
                        <w:szCs w:val="16"/>
                      </w:rPr>
                      <w:t>Address:</w:t>
                    </w:r>
                    <w:r w:rsidRPr="000D0418">
                      <w:rPr>
                        <w:rFonts w:ascii="Franklin Gothic Book" w:hAnsi="Franklin Gothic Book"/>
                        <w:b/>
                        <w:sz w:val="16"/>
                        <w:szCs w:val="16"/>
                      </w:rPr>
                      <w:t xml:space="preserve"> </w:t>
                    </w:r>
                    <w:proofErr w:type="spellStart"/>
                    <w:r w:rsidRPr="000D0418">
                      <w:rPr>
                        <w:rFonts w:ascii="Franklin Gothic Book" w:hAnsi="Franklin Gothic Book"/>
                        <w:sz w:val="16"/>
                        <w:szCs w:val="16"/>
                      </w:rPr>
                      <w:t>Rådhusgata</w:t>
                    </w:r>
                    <w:proofErr w:type="spellEnd"/>
                    <w:r w:rsidRPr="000D0418">
                      <w:rPr>
                        <w:rFonts w:ascii="Franklin Gothic Book" w:hAnsi="Franklin Gothic Book"/>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0D0418">
                      <w:rPr>
                        <w:rFonts w:ascii="Franklin Gothic Book" w:hAnsi="Franklin Gothic Book"/>
                        <w:sz w:val="16"/>
                        <w:szCs w:val="16"/>
                      </w:rPr>
                      <w:t>www.eiti.org</w:t>
                    </w:r>
                    <w:r w:rsidRPr="00382E14">
                      <w:rPr>
                        <w:sz w:val="16"/>
                        <w:szCs w:val="16"/>
                      </w:rPr>
                      <w:t xml:space="preserve">       </w:t>
                    </w:r>
                  </w:p>
                  <w:p w14:paraId="1CD2C48B" w14:textId="77777777" w:rsidR="00BC6B8C" w:rsidRPr="00382E14" w:rsidRDefault="00BC6B8C" w:rsidP="00BA6A8A">
                    <w:pPr>
                      <w:jc w:val="left"/>
                      <w:rPr>
                        <w:sz w:val="16"/>
                        <w:szCs w:val="16"/>
                      </w:rPr>
                    </w:pPr>
                  </w:p>
                  <w:p w14:paraId="5CCAD838" w14:textId="77777777" w:rsidR="00BC6B8C" w:rsidRPr="00382E14" w:rsidRDefault="00BC6B8C" w:rsidP="00BA6A8A">
                    <w:pPr>
                      <w:jc w:val="left"/>
                      <w:rPr>
                        <w:sz w:val="16"/>
                        <w:szCs w:val="16"/>
                      </w:rPr>
                    </w:pPr>
                  </w:p>
                </w:txbxContent>
              </v:textbox>
            </v:shape>
          </w:pict>
        </mc:Fallback>
      </mc:AlternateContent>
    </w:r>
    <w:r w:rsidRPr="00382E14">
      <w:rPr>
        <w:noProof/>
        <w:sz w:val="16"/>
        <w:szCs w:val="16"/>
      </w:rPr>
      <mc:AlternateContent>
        <mc:Choice Requires="wps">
          <w:drawing>
            <wp:anchor distT="0" distB="0" distL="114300" distR="114300" simplePos="0" relativeHeight="251658243" behindDoc="0" locked="0" layoutInCell="1" allowOverlap="1" wp14:anchorId="319FA848" wp14:editId="5507AA7F">
              <wp:simplePos x="0" y="0"/>
              <wp:positionH relativeFrom="column">
                <wp:posOffset>0</wp:posOffset>
              </wp:positionH>
              <wp:positionV relativeFrom="paragraph">
                <wp:posOffset>0</wp:posOffset>
              </wp:positionV>
              <wp:extent cx="5958840" cy="43116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431165"/>
                      </a:xfrm>
                      <a:prstGeom prst="rect">
                        <a:avLst/>
                      </a:prstGeom>
                      <a:noFill/>
                      <a:ln>
                        <a:noFill/>
                      </a:ln>
                      <a:effectLst/>
                      <a:extLst>
                        <a:ext uri="{C572A759-6A51-4108-AA02-DFA0A04FC94B}"/>
                      </a:extLst>
                    </wps:spPr>
                    <wps:txbx>
                      <w:txbxContent>
                        <w:p w14:paraId="3756DC2F" w14:textId="77777777" w:rsidR="00BC6B8C" w:rsidRPr="00544AAC" w:rsidRDefault="00BC6B8C" w:rsidP="00BA6A8A">
                          <w:pPr>
                            <w:pBdr>
                              <w:top w:val="single" w:sz="4" w:space="1" w:color="2DAED5"/>
                            </w:pBdr>
                            <w:spacing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1A49D3EA" w14:textId="77777777" w:rsidR="00BC6B8C" w:rsidRDefault="00BC6B8C" w:rsidP="00BA6A8A"/>
                        <w:p w14:paraId="1D536D82" w14:textId="77777777" w:rsidR="00BC6B8C" w:rsidRDefault="00BC6B8C" w:rsidP="00BA6A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FA848" id="Text Box 3" o:spid="_x0000_s1027" type="#_x0000_t202" style="position:absolute;left:0;text-align:left;margin-left:0;margin-top:0;width:469.2pt;height:33.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fNgIAAHcEAAAOAAAAZHJzL2Uyb0RvYy54bWysVN9v2jAQfp+0/8Hy+wih0NGIULFWTJNQ&#10;WwmqPhvHJtFin2cbEvbX7+wkLev2NO3FOd99vl/fXRa3rarJSVhXgc5pOhpTIjSHotKHnD7v1p/m&#10;lDjPdMFq0CKnZ+Ho7fLjh0VjMjGBEupCWIJOtMsak9PSe5MlieOlUMyNwAiNRglWMY9Xe0gKyxr0&#10;rupkMh5fJw3YwljgwjnU3ndGuoz+pRTcP0rphCd1TjE3H08bz304k+WCZQfLTFnxPg32D1koVmkM&#10;+urqnnlGjrb6w5WquAUH0o84qASkrLiINWA16fhdNduSGRFrweY489om9//c8ofTkyVVgdwhU5op&#10;5GgnWk++QEuuQnsa4zJEbQ3ifItqhMZSndkA/+4QklxgugcO0aEdrbQqfLFQgg+RgfNr10MUjsrZ&#10;zWw+n6KJo216labXsxA3eXttrPNfBSgShJxaZDVmwE4b5zvoAAnBNKyrukY9y2r9mwJ9dhoRR6N/&#10;HbLvEg6Sb/dt15Ch+j0UZyzeQjc9zvB1hYlsmPNPzOK4YO64Av4RD1lDk1PoJUpKsD//pg94ZBGt&#10;lDQ4fjl1P47MCkrqbxr5vUmnoSU+XqazzxO82EvL/tKij+oOcMJTXDbDoxjwvh5EaUG94KasQlQ0&#10;Mc0xdk79IN75bilw07hYrSIIJ9Qwv9FbwwfOQ5t37QuzpufCI4sPMAwqy95R0mE7DlZHD7KKfIU+&#10;d13thwenOzLeb2JYn8t7RL39L5a/AAAA//8DAFBLAwQUAAYACAAAACEAyZ7lHNoAAAAEAQAADwAA&#10;AGRycy9kb3ducmV2LnhtbEyPwU7DMBBE70j8g7VI3KgNlNKEbCoE4gqi0Erc3HibRMTrKHab8Pcs&#10;XOCy0mhGM2+L1eQ7daQhtoERLmcGFHEVXMs1wvvb08USVEyWne0CE8IXRViVpyeFzV0Y+ZWO61Qr&#10;KeGYW4QmpT7XOlYNeRtnoScWbx8Gb5PIodZusKOU+05fGbPQ3rYsC43t6aGh6nN98Aib5/3Hdm5e&#10;6kd/049hMpp9phHPz6b7O1CJpvQXhh98QYdSmHbhwC6qDkEeSb9XvOx6OQe1Q1jcZqDLQv+HL78B&#10;AAD//wMAUEsBAi0AFAAGAAgAAAAhALaDOJL+AAAA4QEAABMAAAAAAAAAAAAAAAAAAAAAAFtDb250&#10;ZW50X1R5cGVzXS54bWxQSwECLQAUAAYACAAAACEAOP0h/9YAAACUAQAACwAAAAAAAAAAAAAAAAAv&#10;AQAAX3JlbHMvLnJlbHNQSwECLQAUAAYACAAAACEAPifkHzYCAAB3BAAADgAAAAAAAAAAAAAAAAAu&#10;AgAAZHJzL2Uyb0RvYy54bWxQSwECLQAUAAYACAAAACEAyZ7lHNoAAAAEAQAADwAAAAAAAAAAAAAA&#10;AACQBAAAZHJzL2Rvd25yZXYueG1sUEsFBgAAAAAEAAQA8wAAAJcFAAAAAA==&#10;" filled="f" stroked="f">
              <v:textbox>
                <w:txbxContent>
                  <w:p w14:paraId="3756DC2F" w14:textId="77777777" w:rsidR="00BC6B8C" w:rsidRPr="00544AAC" w:rsidRDefault="00BC6B8C" w:rsidP="00BA6A8A">
                    <w:pPr>
                      <w:pBdr>
                        <w:top w:val="single" w:sz="4" w:space="1" w:color="2DAED5"/>
                      </w:pBdr>
                      <w:spacing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1A49D3EA" w14:textId="77777777" w:rsidR="00BC6B8C" w:rsidRDefault="00BC6B8C" w:rsidP="00BA6A8A"/>
                  <w:p w14:paraId="1D536D82" w14:textId="77777777" w:rsidR="00BC6B8C" w:rsidRDefault="00BC6B8C" w:rsidP="00BA6A8A"/>
                </w:txbxContent>
              </v:textbox>
            </v:shape>
          </w:pict>
        </mc:Fallback>
      </mc:AlternateContent>
    </w:r>
  </w:p>
  <w:p w14:paraId="62CA2E74" w14:textId="4FD62368" w:rsidR="00BC6B8C" w:rsidRPr="00F70AAE" w:rsidRDefault="00BC6B8C" w:rsidP="00FD1ABC">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A2E76" w14:textId="5CD7B323" w:rsidR="00BC6B8C" w:rsidRPr="00605D9E" w:rsidRDefault="00BC6B8C" w:rsidP="00605D9E">
    <w:pPr>
      <w:pStyle w:val="Footer"/>
      <w:rPr>
        <w:lang w:val="nb-NO"/>
      </w:rPr>
    </w:pPr>
    <w:r w:rsidRPr="00382E14">
      <w:rPr>
        <w:noProof/>
        <w:sz w:val="16"/>
        <w:szCs w:val="16"/>
      </w:rPr>
      <mc:AlternateContent>
        <mc:Choice Requires="wps">
          <w:drawing>
            <wp:anchor distT="0" distB="0" distL="114300" distR="114300" simplePos="0" relativeHeight="251658242" behindDoc="0" locked="0" layoutInCell="1" allowOverlap="1" wp14:anchorId="5A003A60" wp14:editId="4E5246C9">
              <wp:simplePos x="0" y="0"/>
              <wp:positionH relativeFrom="column">
                <wp:posOffset>-3653</wp:posOffset>
              </wp:positionH>
              <wp:positionV relativeFrom="paragraph">
                <wp:posOffset>118601</wp:posOffset>
              </wp:positionV>
              <wp:extent cx="6023610" cy="537328"/>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537328"/>
                      </a:xfrm>
                      <a:prstGeom prst="rect">
                        <a:avLst/>
                      </a:prstGeom>
                      <a:noFill/>
                      <a:ln>
                        <a:noFill/>
                      </a:ln>
                      <a:effectLst/>
                      <a:extLst>
                        <a:ext uri="{C572A759-6A51-4108-AA02-DFA0A04FC94B}"/>
                      </a:extLst>
                    </wps:spPr>
                    <wps:txbx>
                      <w:txbxContent>
                        <w:p w14:paraId="05B1BF94" w14:textId="77777777" w:rsidR="00BC6B8C" w:rsidRPr="00382E14" w:rsidRDefault="00BC6B8C" w:rsidP="00BA6A8A">
                          <w:pPr>
                            <w:spacing w:after="0"/>
                            <w:jc w:val="left"/>
                            <w:rPr>
                              <w:sz w:val="16"/>
                              <w:szCs w:val="16"/>
                            </w:rPr>
                          </w:pPr>
                          <w:r w:rsidRPr="000D0418">
                            <w:rPr>
                              <w:rFonts w:ascii="Franklin Gothic Book" w:hAnsi="Franklin Gothic Book"/>
                              <w:b/>
                              <w:sz w:val="16"/>
                              <w:szCs w:val="16"/>
                            </w:rPr>
                            <w:t>EITI International Secretariat</w:t>
                          </w:r>
                          <w:r w:rsidRPr="00382E14">
                            <w:rPr>
                              <w:sz w:val="16"/>
                              <w:szCs w:val="16"/>
                            </w:rPr>
                            <w:br/>
                          </w:r>
                          <w:r w:rsidRPr="000D0418">
                            <w:rPr>
                              <w:rFonts w:ascii="Franklin Gothic Book" w:hAnsi="Franklin Gothic Book"/>
                              <w:sz w:val="16"/>
                              <w:szCs w:val="16"/>
                            </w:rP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0D0418">
                            <w:rPr>
                              <w:rFonts w:ascii="Franklin Gothic Book" w:hAnsi="Franklin Gothic Book"/>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0D0418">
                            <w:rPr>
                              <w:rFonts w:ascii="Franklin Gothic Book" w:hAnsi="Franklin Gothic Book"/>
                              <w:sz w:val="16"/>
                              <w:szCs w:val="16"/>
                            </w:rPr>
                            <w:t>Twitter: @EITIorg</w:t>
                          </w:r>
                        </w:p>
                        <w:p w14:paraId="0F0F539B" w14:textId="77777777" w:rsidR="00BC6B8C" w:rsidRPr="00382E14" w:rsidRDefault="00BC6B8C" w:rsidP="00BA6A8A">
                          <w:pPr>
                            <w:spacing w:after="0"/>
                            <w:ind w:right="-12"/>
                            <w:rPr>
                              <w:sz w:val="16"/>
                              <w:szCs w:val="16"/>
                            </w:rPr>
                          </w:pPr>
                          <w:r w:rsidRPr="000D0418">
                            <w:rPr>
                              <w:rFonts w:ascii="Franklin Gothic Book" w:hAnsi="Franklin Gothic Book"/>
                              <w:sz w:val="16"/>
                              <w:szCs w:val="16"/>
                            </w:rPr>
                            <w:t>Address:</w:t>
                          </w:r>
                          <w:r w:rsidRPr="000D0418">
                            <w:rPr>
                              <w:rFonts w:ascii="Franklin Gothic Book" w:hAnsi="Franklin Gothic Book"/>
                              <w:b/>
                              <w:sz w:val="16"/>
                              <w:szCs w:val="16"/>
                            </w:rPr>
                            <w:t xml:space="preserve"> </w:t>
                          </w:r>
                          <w:proofErr w:type="spellStart"/>
                          <w:r w:rsidRPr="000D0418">
                            <w:rPr>
                              <w:rFonts w:ascii="Franklin Gothic Book" w:hAnsi="Franklin Gothic Book"/>
                              <w:sz w:val="16"/>
                              <w:szCs w:val="16"/>
                            </w:rPr>
                            <w:t>Rådhusgata</w:t>
                          </w:r>
                          <w:proofErr w:type="spellEnd"/>
                          <w:r w:rsidRPr="000D0418">
                            <w:rPr>
                              <w:rFonts w:ascii="Franklin Gothic Book" w:hAnsi="Franklin Gothic Book"/>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0D0418">
                            <w:rPr>
                              <w:rFonts w:ascii="Franklin Gothic Book" w:hAnsi="Franklin Gothic Book"/>
                              <w:sz w:val="16"/>
                              <w:szCs w:val="16"/>
                            </w:rPr>
                            <w:t>www.eiti.org</w:t>
                          </w:r>
                          <w:r w:rsidRPr="00382E14">
                            <w:rPr>
                              <w:sz w:val="16"/>
                              <w:szCs w:val="16"/>
                            </w:rPr>
                            <w:t xml:space="preserve">       </w:t>
                          </w:r>
                        </w:p>
                        <w:p w14:paraId="5A0715AF" w14:textId="77777777" w:rsidR="00BC6B8C" w:rsidRPr="00382E14" w:rsidRDefault="00BC6B8C" w:rsidP="00BA6A8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A003A60" id="_x0000_t202" coordsize="21600,21600" o:spt="202" path="m,l,21600r21600,l21600,xe">
              <v:stroke joinstyle="miter"/>
              <v:path gradientshapeok="t" o:connecttype="rect"/>
            </v:shapetype>
            <v:shape id="_x0000_s1028" type="#_x0000_t202" style="position:absolute;left:0;text-align:left;margin-left:-.3pt;margin-top:9.35pt;width:474.3pt;height:42.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k5NgIAAHYEAAAOAAAAZHJzL2Uyb0RvYy54bWysVN9v2jAQfp+0/8Hy+wgEStuIULFWTJNQ&#10;WwmmPhvHJtFin2cbEvbX7+wEyto+TXtxznef79d3l9ldq2pyENZVoHM6GgwpEZpDUeldTn9sll9u&#10;KHGe6YLVoEVOj8LRu/nnT7PGZCKFEupCWIJOtMsak9PSe5MlieOlUMwNwAiNRglWMY9Xu0sKyxr0&#10;ruokHQ6nSQO2MBa4cA61D52RzqN/KQX3T1I64UmdU8zNx9PGcxvOZD5j2c4yU1a8T4P9QxaKVRqD&#10;nl09MM/I3lbvXKmKW3Ag/YCDSkDKiotYA1YzGr6pZl0yI2It2Bxnzm1y/88tfzw8W1IVOR1ToplC&#10;ijai9eQrtCQN3WmMyxC0NgjzLaqR5VipMyvgPx1CkgtM98AhOnSjlVaFL9ZJ8CEScDw3PUThqJwO&#10;0/F0hCaOtqvx9Ti9CXGT19fGOv9NgCJByKlFUmMG7LByvoOeICGYhmVV16hnWa3/UqDPTiPiZPSv&#10;Q/ZdwkHy7baN/ThXv4XiiMVb6IbHGb6sMJEVc/6ZWZwWzB03wD/hIWtocgq9REkJ9vdH+oBHEtFK&#10;SYPTl1P3a8+soKT+rpHe29FkEsY1XiZX1yle7KVle2nRe3UPOOAj3DXDoxjwvj6J0oJ6wUVZhKho&#10;Yppj7Jz6k3jvu53AReNisYggHFDD/EqvDT9xHtq8aV+YNT0XHll8hNOcsuwNJR2242Cx9yCryFfo&#10;c9fVfnhwuCPj/SKG7bm8R9Tr72L+BwAA//8DAFBLAwQUAAYACAAAACEARwQCCtwAAAAIAQAADwAA&#10;AGRycy9kb3ducmV2LnhtbEyPzU7DMBCE70i8g7VI3FobWkoa4lQIxBXU8iNx28bbJCJeR7HbhLdn&#10;OcFxZ0az3xSbyXfqRENsA1u4mhtQxFVwLdcW3l6fZhmomJAddoHJwjdF2JTnZwXmLoy8pdMu1UpK&#10;OOZooUmpz7WOVUMe4zz0xOIdwuAxyTnU2g04Srnv9LUxK+2xZfnQYE8PDVVfu6O38P58+PxYmpf6&#10;0d/0Y5iMZr/W1l5eTPd3oBJN6S8Mv/iCDqUw7cORXVSdhdlKgiJnt6DEXi8zmbYXwSwWoMtC/x9Q&#10;/gAAAP//AwBQSwECLQAUAAYACAAAACEAtoM4kv4AAADhAQAAEwAAAAAAAAAAAAAAAAAAAAAAW0Nv&#10;bnRlbnRfVHlwZXNdLnhtbFBLAQItABQABgAIAAAAIQA4/SH/1gAAAJQBAAALAAAAAAAAAAAAAAAA&#10;AC8BAABfcmVscy8ucmVsc1BLAQItABQABgAIAAAAIQCfVHk5NgIAAHYEAAAOAAAAAAAAAAAAAAAA&#10;AC4CAABkcnMvZTJvRG9jLnhtbFBLAQItABQABgAIAAAAIQBHBAIK3AAAAAgBAAAPAAAAAAAAAAAA&#10;AAAAAJAEAABkcnMvZG93bnJldi54bWxQSwUGAAAAAAQABADzAAAAmQUAAAAA&#10;" filled="f" stroked="f">
              <v:textbox>
                <w:txbxContent>
                  <w:p w14:paraId="05B1BF94" w14:textId="77777777" w:rsidR="00BC6B8C" w:rsidRPr="00382E14" w:rsidRDefault="00BC6B8C" w:rsidP="00BA6A8A">
                    <w:pPr>
                      <w:spacing w:after="0"/>
                      <w:jc w:val="left"/>
                      <w:rPr>
                        <w:sz w:val="16"/>
                        <w:szCs w:val="16"/>
                      </w:rPr>
                    </w:pPr>
                    <w:r w:rsidRPr="000D0418">
                      <w:rPr>
                        <w:rFonts w:ascii="Franklin Gothic Book" w:hAnsi="Franklin Gothic Book"/>
                        <w:b/>
                        <w:sz w:val="16"/>
                        <w:szCs w:val="16"/>
                      </w:rPr>
                      <w:t>EITI International Secretariat</w:t>
                    </w:r>
                    <w:r w:rsidRPr="00382E14">
                      <w:rPr>
                        <w:sz w:val="16"/>
                        <w:szCs w:val="16"/>
                      </w:rPr>
                      <w:br/>
                    </w:r>
                    <w:r w:rsidRPr="000D0418">
                      <w:rPr>
                        <w:rFonts w:ascii="Franklin Gothic Book" w:hAnsi="Franklin Gothic Book"/>
                        <w:sz w:val="16"/>
                        <w:szCs w:val="16"/>
                      </w:rP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0D0418">
                      <w:rPr>
                        <w:rFonts w:ascii="Franklin Gothic Book" w:hAnsi="Franklin Gothic Book"/>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0D0418">
                      <w:rPr>
                        <w:rFonts w:ascii="Franklin Gothic Book" w:hAnsi="Franklin Gothic Book"/>
                        <w:sz w:val="16"/>
                        <w:szCs w:val="16"/>
                      </w:rPr>
                      <w:t>Twitter: @EITIorg</w:t>
                    </w:r>
                  </w:p>
                  <w:p w14:paraId="0F0F539B" w14:textId="77777777" w:rsidR="00BC6B8C" w:rsidRPr="00382E14" w:rsidRDefault="00BC6B8C" w:rsidP="00BA6A8A">
                    <w:pPr>
                      <w:spacing w:after="0"/>
                      <w:ind w:right="-12"/>
                      <w:rPr>
                        <w:sz w:val="16"/>
                        <w:szCs w:val="16"/>
                      </w:rPr>
                    </w:pPr>
                    <w:r w:rsidRPr="000D0418">
                      <w:rPr>
                        <w:rFonts w:ascii="Franklin Gothic Book" w:hAnsi="Franklin Gothic Book"/>
                        <w:sz w:val="16"/>
                        <w:szCs w:val="16"/>
                      </w:rPr>
                      <w:t>Address:</w:t>
                    </w:r>
                    <w:r w:rsidRPr="000D0418">
                      <w:rPr>
                        <w:rFonts w:ascii="Franklin Gothic Book" w:hAnsi="Franklin Gothic Book"/>
                        <w:b/>
                        <w:sz w:val="16"/>
                        <w:szCs w:val="16"/>
                      </w:rPr>
                      <w:t xml:space="preserve"> </w:t>
                    </w:r>
                    <w:proofErr w:type="spellStart"/>
                    <w:r w:rsidRPr="000D0418">
                      <w:rPr>
                        <w:rFonts w:ascii="Franklin Gothic Book" w:hAnsi="Franklin Gothic Book"/>
                        <w:sz w:val="16"/>
                        <w:szCs w:val="16"/>
                      </w:rPr>
                      <w:t>Rådhusgata</w:t>
                    </w:r>
                    <w:proofErr w:type="spellEnd"/>
                    <w:r w:rsidRPr="000D0418">
                      <w:rPr>
                        <w:rFonts w:ascii="Franklin Gothic Book" w:hAnsi="Franklin Gothic Book"/>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0D0418">
                      <w:rPr>
                        <w:rFonts w:ascii="Franklin Gothic Book" w:hAnsi="Franklin Gothic Book"/>
                        <w:sz w:val="16"/>
                        <w:szCs w:val="16"/>
                      </w:rPr>
                      <w:t>www.eiti.org</w:t>
                    </w:r>
                    <w:r w:rsidRPr="00382E14">
                      <w:rPr>
                        <w:sz w:val="16"/>
                        <w:szCs w:val="16"/>
                      </w:rPr>
                      <w:t xml:space="preserve">       </w:t>
                    </w:r>
                  </w:p>
                  <w:p w14:paraId="5A0715AF" w14:textId="77777777" w:rsidR="00BC6B8C" w:rsidRPr="00382E14" w:rsidRDefault="00BC6B8C" w:rsidP="00BA6A8A">
                    <w:pPr>
                      <w:rPr>
                        <w:sz w:val="16"/>
                        <w:szCs w:val="16"/>
                      </w:rPr>
                    </w:pPr>
                  </w:p>
                </w:txbxContent>
              </v:textbox>
            </v:shape>
          </w:pict>
        </mc:Fallback>
      </mc:AlternateContent>
    </w:r>
    <w:r w:rsidRPr="00382E14">
      <w:rPr>
        <w:noProof/>
        <w:sz w:val="16"/>
        <w:szCs w:val="16"/>
      </w:rPr>
      <mc:AlternateContent>
        <mc:Choice Requires="wps">
          <w:drawing>
            <wp:anchor distT="0" distB="0" distL="114300" distR="114300" simplePos="0" relativeHeight="251658241" behindDoc="0" locked="0" layoutInCell="1" allowOverlap="1" wp14:anchorId="0E71B211" wp14:editId="3AC8EC20">
              <wp:simplePos x="0" y="0"/>
              <wp:positionH relativeFrom="column">
                <wp:posOffset>0</wp:posOffset>
              </wp:positionH>
              <wp:positionV relativeFrom="paragraph">
                <wp:posOffset>0</wp:posOffset>
              </wp:positionV>
              <wp:extent cx="5958840" cy="739739"/>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739739"/>
                      </a:xfrm>
                      <a:prstGeom prst="rect">
                        <a:avLst/>
                      </a:prstGeom>
                      <a:noFill/>
                      <a:ln>
                        <a:noFill/>
                      </a:ln>
                      <a:effectLst/>
                      <a:extLst>
                        <a:ext uri="{C572A759-6A51-4108-AA02-DFA0A04FC94B}"/>
                      </a:extLst>
                    </wps:spPr>
                    <wps:txbx>
                      <w:txbxContent>
                        <w:p w14:paraId="36442D06" w14:textId="77777777" w:rsidR="00BC6B8C" w:rsidRPr="00544AAC" w:rsidRDefault="00BC6B8C" w:rsidP="00BA6A8A">
                          <w:pPr>
                            <w:pBdr>
                              <w:top w:val="single" w:sz="4" w:space="1" w:color="2DAED5"/>
                            </w:pBdr>
                            <w:spacing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7080198A" w14:textId="77777777" w:rsidR="00BC6B8C" w:rsidRDefault="00BC6B8C" w:rsidP="00BA6A8A"/>
                        <w:p w14:paraId="7D60C594" w14:textId="77777777" w:rsidR="00BC6B8C" w:rsidRDefault="00BC6B8C" w:rsidP="00BA6A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1B211" id="_x0000_s1029" type="#_x0000_t202" style="position:absolute;left:0;text-align:left;margin-left:0;margin-top:0;width:469.2pt;height:5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5AVNQIAAHcEAAAOAAAAZHJzL2Uyb0RvYy54bWysVN9v2jAQfp+0/8Hy+whQaCEiVKwV0yTU&#10;VoKpz8axSbTY59mGhP31OzsJZd2epknInO8+36/vLov7RlXkJKwrQWd0NBhSIjSHvNSHjH7brT/N&#10;KHGe6ZxVoEVGz8LR++XHD4vapGIMBVS5sASdaJfWJqOF9yZNEscLoZgbgBEajRKsYh6v9pDkltXo&#10;XVXJeDi8TWqwubHAhXOofWyNdBn9Sym4f5bSCU+qjGJuPp42nvtwJssFSw+WmaLkXRrsH7JQrNQY&#10;9OLqkXlGjrb8w5UquQUH0g84qASkLLmINWA1o+G7arYFMyLWgs1x5tIm9//c8qfTiyVljtzdUqKZ&#10;Qo52ovHkMzTkJrSnNi5F1NYgzjeoRmgs1ZkN8O8OIckVpn3gEB3a0Uirwj8WSvAhMnC+dD1E4aic&#10;zqez2QRNHG13N3P8hbjJ22tjnf8iQJEgZNQiqzEDdto430J7SAimYV1WFepZWunfFOiz1Yg4Gt3r&#10;kH2bcJB8s29iQy7V7yE/Y/EW2ulxhq9LTGTDnH9hFscFc8cV8M94yArqjEInUVKA/fk3fcAji2il&#10;pMbxy6j7cWRWUFJ91cjvfDQJLfHxMpnejfFiry37a4s+qgfACR/hshkexYD3VS9KC+oVN2UVoqKJ&#10;aY6xM+p78cG3S4GbxsVqFUE4oYb5jd4a3nMe2rxrXpk1HRceWXyCflBZ+o6SFttysDp6kGXkK/S5&#10;7Wo3PDjdkfFuE8P6XN8j6u17sfwFAAD//wMAUEsDBBQABgAIAAAAIQAVqwor2gAAAAUBAAAPAAAA&#10;ZHJzL2Rvd25yZXYueG1sTI9BS8NAEIXvgv9hGcGbna22pY3ZFFG8KlYt9LbNTpNgdjZkt038945e&#10;6uXB8B7vfZOvR9+qE/WxCWxgOtGgiMvgGq4MfLw/3yxBxWTZ2TYwGfimCOvi8iK3mQsDv9Fpkyol&#10;JRwza6BOqcsQY1mTt3ESOmLxDqH3NsnZV+h6O0i5b/FW6wV627As1Lajx5rKr83RG/h8Oey2M/1a&#10;Pfl5N4RRI/sVGnN9NT7cg0o0pnMYfvEFHQph2ocju6haA/JI+lPxVnfLGai9hKaLOWCR43/64gcA&#10;AP//AwBQSwECLQAUAAYACAAAACEAtoM4kv4AAADhAQAAEwAAAAAAAAAAAAAAAAAAAAAAW0NvbnRl&#10;bnRfVHlwZXNdLnhtbFBLAQItABQABgAIAAAAIQA4/SH/1gAAAJQBAAALAAAAAAAAAAAAAAAAAC8B&#10;AABfcmVscy8ucmVsc1BLAQItABQABgAIAAAAIQDyR5AVNQIAAHcEAAAOAAAAAAAAAAAAAAAAAC4C&#10;AABkcnMvZTJvRG9jLnhtbFBLAQItABQABgAIAAAAIQAVqwor2gAAAAUBAAAPAAAAAAAAAAAAAAAA&#10;AI8EAABkcnMvZG93bnJldi54bWxQSwUGAAAAAAQABADzAAAAlgUAAAAA&#10;" filled="f" stroked="f">
              <v:textbox>
                <w:txbxContent>
                  <w:p w14:paraId="36442D06" w14:textId="77777777" w:rsidR="00BC6B8C" w:rsidRPr="00544AAC" w:rsidRDefault="00BC6B8C" w:rsidP="00BA6A8A">
                    <w:pPr>
                      <w:pBdr>
                        <w:top w:val="single" w:sz="4" w:space="1" w:color="2DAED5"/>
                      </w:pBdr>
                      <w:spacing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7080198A" w14:textId="77777777" w:rsidR="00BC6B8C" w:rsidRDefault="00BC6B8C" w:rsidP="00BA6A8A"/>
                  <w:p w14:paraId="7D60C594" w14:textId="77777777" w:rsidR="00BC6B8C" w:rsidRDefault="00BC6B8C" w:rsidP="00BA6A8A"/>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47047" w14:textId="77777777" w:rsidR="000E4A0E" w:rsidRDefault="000E4A0E">
      <w:pPr>
        <w:spacing w:after="0" w:line="240" w:lineRule="auto"/>
      </w:pPr>
      <w:r>
        <w:separator/>
      </w:r>
    </w:p>
  </w:footnote>
  <w:footnote w:type="continuationSeparator" w:id="0">
    <w:p w14:paraId="0AB2A64B" w14:textId="77777777" w:rsidR="000E4A0E" w:rsidRDefault="000E4A0E">
      <w:pPr>
        <w:spacing w:after="0" w:line="240" w:lineRule="auto"/>
      </w:pPr>
      <w:r>
        <w:continuationSeparator/>
      </w:r>
    </w:p>
  </w:footnote>
  <w:footnote w:type="continuationNotice" w:id="1">
    <w:p w14:paraId="243EDD0A" w14:textId="77777777" w:rsidR="000E4A0E" w:rsidRDefault="000E4A0E">
      <w:pPr>
        <w:spacing w:after="0" w:line="240" w:lineRule="auto"/>
      </w:pPr>
    </w:p>
  </w:footnote>
  <w:footnote w:id="2">
    <w:p w14:paraId="41CEC2EA" w14:textId="7CF22B30" w:rsidR="00BC6B8C" w:rsidRPr="001373D2" w:rsidRDefault="00BC6B8C" w:rsidP="003A2CE4">
      <w:pPr>
        <w:pStyle w:val="FootnoteText"/>
        <w:jc w:val="left"/>
        <w:rPr>
          <w:rFonts w:ascii="Franklin Gothic Book" w:hAnsi="Franklin Gothic Book"/>
          <w:sz w:val="18"/>
          <w:szCs w:val="18"/>
        </w:rPr>
      </w:pPr>
      <w:r w:rsidRPr="001373D2">
        <w:rPr>
          <w:rStyle w:val="FootnoteReference"/>
          <w:rFonts w:ascii="Franklin Gothic Book" w:hAnsi="Franklin Gothic Book"/>
          <w:sz w:val="18"/>
          <w:szCs w:val="18"/>
        </w:rPr>
        <w:footnoteRef/>
      </w:r>
      <w:r w:rsidRPr="001373D2">
        <w:rPr>
          <w:rFonts w:ascii="Franklin Gothic Book" w:hAnsi="Franklin Gothic Book"/>
          <w:sz w:val="18"/>
          <w:szCs w:val="18"/>
        </w:rPr>
        <w:t xml:space="preserve"> </w:t>
      </w:r>
      <w:r w:rsidR="003A2CE4" w:rsidRPr="001373D2">
        <w:rPr>
          <w:rFonts w:ascii="Franklin Gothic Book" w:hAnsi="Franklin Gothic Book"/>
          <w:sz w:val="18"/>
          <w:szCs w:val="18"/>
        </w:rPr>
        <w:t>The Terms of Reference are prepared in accordance with EITI Board Decision 2020-31/BC-290 to allow more flexibility in recognition of the challenges posed by the Covid-19 pandemic</w:t>
      </w:r>
      <w:r w:rsidR="00F019E9">
        <w:rPr>
          <w:rFonts w:ascii="Franklin Gothic Book" w:hAnsi="Franklin Gothic Book"/>
          <w:sz w:val="18"/>
          <w:szCs w:val="18"/>
        </w:rPr>
        <w:t xml:space="preserve"> for reports published by 31 December 2022</w:t>
      </w:r>
      <w:r w:rsidRPr="001373D2">
        <w:rPr>
          <w:rFonts w:ascii="Franklin Gothic Book" w:hAnsi="Franklin Gothic Book"/>
          <w:sz w:val="18"/>
          <w:szCs w:val="18"/>
        </w:rPr>
        <w:t xml:space="preserve">, </w:t>
      </w:r>
      <w:hyperlink r:id="rId1" w:history="1">
        <w:r w:rsidRPr="001373D2">
          <w:rPr>
            <w:rStyle w:val="Hyperlink"/>
            <w:rFonts w:ascii="Franklin Gothic Book" w:hAnsi="Franklin Gothic Book"/>
            <w:sz w:val="18"/>
            <w:szCs w:val="18"/>
          </w:rPr>
          <w:t>https://eiti.org/board-decision/2020-31</w:t>
        </w:r>
      </w:hyperlink>
      <w:r w:rsidRPr="001373D2">
        <w:rPr>
          <w:rFonts w:ascii="Franklin Gothic Book" w:hAnsi="Franklin Gothic Book"/>
          <w:sz w:val="18"/>
          <w:szCs w:val="18"/>
        </w:rPr>
        <w:t xml:space="preserve"> </w:t>
      </w:r>
    </w:p>
  </w:footnote>
  <w:footnote w:id="3">
    <w:p w14:paraId="3906733D" w14:textId="0C44A85F" w:rsidR="00FC64C0" w:rsidRDefault="00FB6A1A">
      <w:pPr>
        <w:pStyle w:val="FootnoteText"/>
        <w:rPr>
          <w:rFonts w:ascii="Franklin Gothic Book" w:hAnsi="Franklin Gothic Book"/>
        </w:rPr>
      </w:pPr>
      <w:r w:rsidRPr="00F94194">
        <w:rPr>
          <w:rStyle w:val="FootnoteReference"/>
          <w:rFonts w:ascii="Franklin Gothic Book" w:hAnsi="Franklin Gothic Book"/>
        </w:rPr>
        <w:footnoteRef/>
      </w:r>
      <w:r w:rsidRPr="00F94194">
        <w:rPr>
          <w:rFonts w:ascii="Franklin Gothic Book" w:hAnsi="Franklin Gothic Book"/>
        </w:rPr>
        <w:t xml:space="preserve"> </w:t>
      </w:r>
      <w:r w:rsidR="00F95F36" w:rsidRPr="0094079F">
        <w:rPr>
          <w:rFonts w:ascii="Franklin Gothic Book" w:hAnsi="Franklin Gothic Book"/>
        </w:rPr>
        <w:t>The Validation data collection templates, including on Transparency (Requirements 2-6 of the EITI Standard, are available on the EITI</w:t>
      </w:r>
      <w:r w:rsidR="002F5123" w:rsidRPr="0094079F">
        <w:rPr>
          <w:rFonts w:ascii="Franklin Gothic Book" w:hAnsi="Franklin Gothic Book"/>
        </w:rPr>
        <w:t xml:space="preserve"> website:</w:t>
      </w:r>
      <w:r w:rsidR="0094079F" w:rsidRPr="0094079F" w:rsidDel="0094079F">
        <w:rPr>
          <w:rFonts w:ascii="Franklin Gothic Book" w:hAnsi="Franklin Gothic Book"/>
        </w:rPr>
        <w:t xml:space="preserve"> </w:t>
      </w:r>
      <w:hyperlink r:id="rId2" w:history="1">
        <w:r w:rsidR="00B9416B" w:rsidRPr="003B1822">
          <w:rPr>
            <w:rStyle w:val="Hyperlink"/>
            <w:rFonts w:ascii="Franklin Gothic Book" w:hAnsi="Franklin Gothic Book"/>
          </w:rPr>
          <w:t>https://eiti.org/document/2021-validation-model-templates</w:t>
        </w:r>
      </w:hyperlink>
    </w:p>
    <w:p w14:paraId="694DF45A" w14:textId="77777777" w:rsidR="00B9416B" w:rsidRDefault="00B9416B">
      <w:pPr>
        <w:pStyle w:val="FootnoteText"/>
        <w:rPr>
          <w:rFonts w:ascii="Franklin Gothic Book" w:hAnsi="Franklin Gothic Book"/>
        </w:rPr>
      </w:pPr>
    </w:p>
    <w:p w14:paraId="357044F7" w14:textId="77777777" w:rsidR="00B9416B" w:rsidRDefault="00B9416B">
      <w:pPr>
        <w:pStyle w:val="FootnoteText"/>
        <w:rPr>
          <w:rFonts w:ascii="Franklin Gothic Book" w:hAnsi="Franklin Gothic Book"/>
        </w:rPr>
      </w:pPr>
    </w:p>
    <w:p w14:paraId="4E7A4D8D" w14:textId="77777777" w:rsidR="00C578AF" w:rsidRDefault="00C578AF">
      <w:pPr>
        <w:pStyle w:val="FootnoteText"/>
        <w:rPr>
          <w:rFonts w:ascii="Franklin Gothic Book" w:hAnsi="Franklin Gothic Book"/>
        </w:rPr>
      </w:pPr>
    </w:p>
    <w:p w14:paraId="0DA05EF0" w14:textId="14B9DAAA" w:rsidR="00FB6A1A" w:rsidRPr="000C69CF" w:rsidRDefault="00400FCB">
      <w:pPr>
        <w:pStyle w:val="FootnoteText"/>
        <w:rPr>
          <w:rFonts w:ascii="Franklin Gothic Book" w:hAnsi="Franklin Gothic Book"/>
          <w:lang w:val="en-US"/>
        </w:rPr>
      </w:pPr>
      <w:r w:rsidRPr="00400FCB" w:rsidDel="00400FCB">
        <w:rPr>
          <w:rFonts w:ascii="Franklin Gothic Book" w:hAnsi="Franklin Gothic Book"/>
        </w:rPr>
        <w:t xml:space="preserve"> </w:t>
      </w:r>
    </w:p>
  </w:footnote>
  <w:footnote w:id="4">
    <w:p w14:paraId="1C980E2D" w14:textId="46FAA979" w:rsidR="0037028D" w:rsidRPr="0037028D" w:rsidRDefault="0037028D">
      <w:pPr>
        <w:pStyle w:val="FootnoteText"/>
      </w:pPr>
      <w:r>
        <w:rPr>
          <w:rStyle w:val="FootnoteReference"/>
        </w:rPr>
        <w:footnoteRef/>
      </w:r>
      <w:r>
        <w:t xml:space="preserve"> The EITI Policy Brief</w:t>
      </w:r>
      <w:r w:rsidR="007A5828">
        <w:t xml:space="preserve"> on </w:t>
      </w:r>
      <w:r w:rsidR="007A5828" w:rsidRPr="007A5828">
        <w:rPr>
          <w:i/>
          <w:iCs/>
        </w:rPr>
        <w:t>Preparing for the energy transition</w:t>
      </w:r>
      <w:r>
        <w:t xml:space="preserve"> provides an overview of</w:t>
      </w:r>
      <w:r w:rsidR="007A5828">
        <w:t xml:space="preserve"> k</w:t>
      </w:r>
      <w:r>
        <w:t>ey questions MSGs can consider in setting objectives for reporting related to the energy transition</w:t>
      </w:r>
      <w:r w:rsidR="007A5828">
        <w:t xml:space="preserve">, </w:t>
      </w:r>
      <w:hyperlink r:id="rId3" w:history="1">
        <w:r w:rsidR="007A5828" w:rsidRPr="00483FC4">
          <w:rPr>
            <w:rStyle w:val="Hyperlink"/>
          </w:rPr>
          <w:t>accessible here</w:t>
        </w:r>
      </w:hyperlink>
      <w:r w:rsidR="007A5828">
        <w:t>.</w:t>
      </w:r>
    </w:p>
  </w:footnote>
  <w:footnote w:id="5">
    <w:p w14:paraId="39FE7C8D" w14:textId="4665DDE1" w:rsidR="00BC6B8C" w:rsidRPr="001373D2" w:rsidRDefault="00BC6B8C">
      <w:pPr>
        <w:pStyle w:val="FootnoteText"/>
        <w:rPr>
          <w:rFonts w:ascii="Franklin Gothic Book" w:hAnsi="Franklin Gothic Book"/>
          <w:sz w:val="18"/>
          <w:szCs w:val="18"/>
        </w:rPr>
      </w:pPr>
      <w:r w:rsidRPr="001373D2">
        <w:rPr>
          <w:rStyle w:val="FootnoteReference"/>
          <w:rFonts w:ascii="Franklin Gothic Book" w:hAnsi="Franklin Gothic Book"/>
          <w:sz w:val="18"/>
          <w:szCs w:val="18"/>
        </w:rPr>
        <w:footnoteRef/>
      </w:r>
      <w:r w:rsidRPr="001373D2">
        <w:rPr>
          <w:rFonts w:ascii="Franklin Gothic Book" w:hAnsi="Franklin Gothic Book"/>
          <w:sz w:val="18"/>
          <w:szCs w:val="18"/>
        </w:rPr>
        <w:t xml:space="preserve"> G</w:t>
      </w:r>
      <w:r w:rsidRPr="001373D2">
        <w:rPr>
          <w:rFonts w:ascii="Franklin Gothic Book" w:eastAsia="Calibri" w:hAnsi="Franklin Gothic Book"/>
          <w:sz w:val="18"/>
          <w:szCs w:val="18"/>
          <w:lang w:eastAsia="nb-NO" w:bidi="ar-SA"/>
        </w:rPr>
        <w:t>uidance Note 13: Defining materiality, reporting thresholds and reporting entities,</w:t>
      </w:r>
      <w:r w:rsidRPr="001373D2">
        <w:rPr>
          <w:rFonts w:ascii="Franklin Gothic Book" w:hAnsi="Franklin Gothic Book"/>
          <w:sz w:val="18"/>
          <w:szCs w:val="18"/>
        </w:rPr>
        <w:t xml:space="preserve"> </w:t>
      </w:r>
      <w:hyperlink r:id="rId4" w:history="1">
        <w:r w:rsidRPr="001373D2">
          <w:rPr>
            <w:rStyle w:val="Hyperlink"/>
            <w:rFonts w:ascii="Franklin Gothic Book" w:hAnsi="Franklin Gothic Book"/>
            <w:sz w:val="18"/>
            <w:szCs w:val="18"/>
          </w:rPr>
          <w:t>https://eiti.org/GN13</w:t>
        </w:r>
      </w:hyperlink>
      <w:r w:rsidRPr="001373D2">
        <w:rPr>
          <w:rFonts w:ascii="Franklin Gothic Book" w:hAnsi="Franklin Gothic Book"/>
          <w:sz w:val="18"/>
          <w:szCs w:val="18"/>
        </w:rPr>
        <w:t xml:space="preserve"> </w:t>
      </w:r>
    </w:p>
  </w:footnote>
  <w:footnote w:id="6">
    <w:p w14:paraId="541798A0" w14:textId="37816C56" w:rsidR="00BC6B8C" w:rsidRPr="001373D2" w:rsidRDefault="00BC6B8C" w:rsidP="00871094">
      <w:pPr>
        <w:pStyle w:val="FootnoteText"/>
        <w:jc w:val="left"/>
        <w:rPr>
          <w:rFonts w:ascii="Franklin Gothic Book" w:hAnsi="Franklin Gothic Book"/>
          <w:sz w:val="18"/>
          <w:szCs w:val="18"/>
          <w:lang w:val="en-US"/>
        </w:rPr>
      </w:pPr>
      <w:r w:rsidRPr="001373D2">
        <w:rPr>
          <w:rStyle w:val="FootnoteReference"/>
          <w:rFonts w:ascii="Franklin Gothic Book" w:hAnsi="Franklin Gothic Book"/>
          <w:sz w:val="18"/>
          <w:szCs w:val="18"/>
        </w:rPr>
        <w:footnoteRef/>
      </w:r>
      <w:r w:rsidRPr="001373D2">
        <w:rPr>
          <w:rFonts w:ascii="Franklin Gothic Book" w:hAnsi="Franklin Gothic Book"/>
          <w:sz w:val="18"/>
          <w:szCs w:val="18"/>
        </w:rPr>
        <w:t xml:space="preserve"> In preparing this information, the MSG may wish to use the EITI Summary data template, which contains a disclosure checklist for publicly accessible non-revenue information in line with the EITI Standard (Part 2), as list of reporting entities (Part 3) and a table to help summarise revenue data by government, company and project (Part 4 and 5).</w:t>
      </w:r>
    </w:p>
  </w:footnote>
  <w:footnote w:id="7">
    <w:p w14:paraId="284709B8" w14:textId="77777777" w:rsidR="00BC6B8C" w:rsidRPr="001373D2" w:rsidRDefault="00BC6B8C" w:rsidP="00871094">
      <w:pPr>
        <w:pStyle w:val="FootnoteText"/>
        <w:spacing w:after="0" w:line="240" w:lineRule="auto"/>
        <w:jc w:val="left"/>
        <w:rPr>
          <w:rFonts w:ascii="Franklin Gothic Book" w:hAnsi="Franklin Gothic Book"/>
          <w:sz w:val="18"/>
          <w:szCs w:val="18"/>
        </w:rPr>
      </w:pPr>
      <w:r w:rsidRPr="001373D2">
        <w:rPr>
          <w:rStyle w:val="FootnoteReference"/>
          <w:rFonts w:ascii="Franklin Gothic Book" w:hAnsi="Franklin Gothic Book"/>
          <w:sz w:val="18"/>
          <w:szCs w:val="18"/>
        </w:rPr>
        <w:footnoteRef/>
      </w:r>
      <w:r w:rsidRPr="001373D2">
        <w:rPr>
          <w:rFonts w:ascii="Franklin Gothic Book" w:hAnsi="Franklin Gothic Book"/>
          <w:sz w:val="18"/>
          <w:szCs w:val="18"/>
        </w:rPr>
        <w:t xml:space="preserve"> Guidance Note 4: Licence Allocations, </w:t>
      </w:r>
      <w:bookmarkStart w:id="15" w:name="_Hlk31375844"/>
      <w:r w:rsidRPr="001373D2">
        <w:rPr>
          <w:rFonts w:ascii="Franklin Gothic Book" w:hAnsi="Franklin Gothic Book"/>
          <w:sz w:val="18"/>
          <w:szCs w:val="18"/>
        </w:rPr>
        <w:fldChar w:fldCharType="begin"/>
      </w:r>
      <w:r w:rsidRPr="001373D2">
        <w:rPr>
          <w:rFonts w:ascii="Franklin Gothic Book" w:hAnsi="Franklin Gothic Book"/>
          <w:sz w:val="18"/>
          <w:szCs w:val="18"/>
        </w:rPr>
        <w:instrText xml:space="preserve"> HYPERLINK "https://eiti.org/guide/license-allocations" </w:instrText>
      </w:r>
      <w:r w:rsidRPr="001373D2">
        <w:rPr>
          <w:rFonts w:ascii="Franklin Gothic Book" w:hAnsi="Franklin Gothic Book"/>
          <w:sz w:val="18"/>
          <w:szCs w:val="18"/>
        </w:rPr>
        <w:fldChar w:fldCharType="separate"/>
      </w:r>
      <w:r w:rsidRPr="001373D2">
        <w:rPr>
          <w:rStyle w:val="Hyperlink"/>
          <w:rFonts w:ascii="Franklin Gothic Book" w:hAnsi="Franklin Gothic Book"/>
          <w:sz w:val="18"/>
          <w:szCs w:val="18"/>
        </w:rPr>
        <w:t>https://eiti.org/guide/license-allocations</w:t>
      </w:r>
      <w:r w:rsidRPr="001373D2">
        <w:rPr>
          <w:rFonts w:ascii="Franklin Gothic Book" w:hAnsi="Franklin Gothic Book"/>
          <w:sz w:val="18"/>
          <w:szCs w:val="18"/>
        </w:rPr>
        <w:fldChar w:fldCharType="end"/>
      </w:r>
    </w:p>
    <w:bookmarkEnd w:id="15"/>
  </w:footnote>
  <w:footnote w:id="8">
    <w:p w14:paraId="57FAA960" w14:textId="77777777" w:rsidR="00BC6B8C" w:rsidRPr="001373D2" w:rsidRDefault="00BC6B8C" w:rsidP="00D00857">
      <w:pPr>
        <w:pStyle w:val="FootnoteText"/>
        <w:spacing w:after="0" w:line="240" w:lineRule="auto"/>
        <w:jc w:val="left"/>
        <w:rPr>
          <w:rFonts w:ascii="Franklin Gothic Book" w:hAnsi="Franklin Gothic Book"/>
          <w:sz w:val="18"/>
          <w:szCs w:val="18"/>
        </w:rPr>
      </w:pPr>
      <w:r w:rsidRPr="001373D2">
        <w:rPr>
          <w:rStyle w:val="FootnoteReference"/>
          <w:rFonts w:ascii="Franklin Gothic Book" w:hAnsi="Franklin Gothic Book"/>
          <w:sz w:val="18"/>
          <w:szCs w:val="18"/>
        </w:rPr>
        <w:footnoteRef/>
      </w:r>
      <w:r w:rsidRPr="001373D2">
        <w:rPr>
          <w:rFonts w:ascii="Franklin Gothic Book" w:hAnsi="Franklin Gothic Book"/>
          <w:sz w:val="18"/>
          <w:szCs w:val="18"/>
        </w:rPr>
        <w:t xml:space="preserve"> Guidance Note 3: Licence Registers, </w:t>
      </w:r>
      <w:hyperlink r:id="rId5" w:history="1">
        <w:r w:rsidRPr="001373D2">
          <w:rPr>
            <w:rStyle w:val="Hyperlink"/>
            <w:rFonts w:ascii="Franklin Gothic Book" w:hAnsi="Franklin Gothic Book"/>
            <w:sz w:val="18"/>
            <w:szCs w:val="18"/>
          </w:rPr>
          <w:t>https://eiti.org/guide/license-registers</w:t>
        </w:r>
      </w:hyperlink>
    </w:p>
  </w:footnote>
  <w:footnote w:id="9">
    <w:p w14:paraId="3D7AE417" w14:textId="77777777" w:rsidR="00BC6B8C" w:rsidRPr="001373D2" w:rsidRDefault="00BC6B8C" w:rsidP="00871094">
      <w:pPr>
        <w:pStyle w:val="FootnoteText"/>
        <w:spacing w:after="0" w:line="240" w:lineRule="auto"/>
        <w:jc w:val="left"/>
        <w:rPr>
          <w:rFonts w:ascii="Franklin Gothic Book" w:hAnsi="Franklin Gothic Book"/>
          <w:sz w:val="18"/>
          <w:szCs w:val="18"/>
        </w:rPr>
      </w:pPr>
      <w:r w:rsidRPr="001373D2">
        <w:rPr>
          <w:rStyle w:val="FootnoteReference"/>
          <w:rFonts w:ascii="Franklin Gothic Book" w:hAnsi="Franklin Gothic Book"/>
          <w:sz w:val="18"/>
          <w:szCs w:val="18"/>
        </w:rPr>
        <w:footnoteRef/>
      </w:r>
      <w:r w:rsidRPr="001373D2">
        <w:rPr>
          <w:rFonts w:ascii="Franklin Gothic Book" w:hAnsi="Franklin Gothic Book"/>
          <w:sz w:val="18"/>
          <w:szCs w:val="18"/>
        </w:rPr>
        <w:t xml:space="preserve"> Guidance Note 7: Contract Transparency, </w:t>
      </w:r>
      <w:hyperlink r:id="rId6" w:history="1">
        <w:r w:rsidRPr="001373D2">
          <w:rPr>
            <w:rStyle w:val="Hyperlink"/>
            <w:rFonts w:ascii="Franklin Gothic Book" w:hAnsi="Franklin Gothic Book"/>
            <w:sz w:val="18"/>
            <w:szCs w:val="18"/>
          </w:rPr>
          <w:t>https://eiti.org/guide/contracts</w:t>
        </w:r>
      </w:hyperlink>
    </w:p>
  </w:footnote>
  <w:footnote w:id="10">
    <w:p w14:paraId="2E8D0958" w14:textId="77777777" w:rsidR="00BC6B8C" w:rsidRPr="001373D2" w:rsidRDefault="00BC6B8C" w:rsidP="00871094">
      <w:pPr>
        <w:pStyle w:val="FootnoteText"/>
        <w:spacing w:after="0" w:line="240" w:lineRule="auto"/>
        <w:jc w:val="left"/>
        <w:rPr>
          <w:rFonts w:ascii="Franklin Gothic Book" w:hAnsi="Franklin Gothic Book"/>
          <w:sz w:val="18"/>
          <w:szCs w:val="18"/>
        </w:rPr>
      </w:pPr>
      <w:r w:rsidRPr="001373D2">
        <w:rPr>
          <w:rStyle w:val="FootnoteReference"/>
          <w:rFonts w:ascii="Franklin Gothic Book" w:hAnsi="Franklin Gothic Book"/>
          <w:sz w:val="18"/>
          <w:szCs w:val="18"/>
        </w:rPr>
        <w:footnoteRef/>
      </w:r>
      <w:r w:rsidRPr="001373D2">
        <w:rPr>
          <w:rFonts w:ascii="Franklin Gothic Book" w:hAnsi="Franklin Gothic Book"/>
          <w:sz w:val="18"/>
          <w:szCs w:val="18"/>
        </w:rPr>
        <w:t xml:space="preserve"> Template beneficial ownership declaration, </w:t>
      </w:r>
      <w:hyperlink r:id="rId7" w:history="1">
        <w:r w:rsidRPr="001373D2">
          <w:rPr>
            <w:rStyle w:val="Hyperlink"/>
            <w:rFonts w:ascii="Franklin Gothic Book" w:hAnsi="Franklin Gothic Book"/>
            <w:sz w:val="18"/>
            <w:szCs w:val="18"/>
          </w:rPr>
          <w:t>https://eiti.org/document/tools-to-include-beneficial-ownership-information-in-eiti-reporting</w:t>
        </w:r>
      </w:hyperlink>
    </w:p>
  </w:footnote>
  <w:footnote w:id="11">
    <w:p w14:paraId="73AC3747" w14:textId="77777777" w:rsidR="00BC6B8C" w:rsidRPr="001373D2" w:rsidRDefault="00BC6B8C" w:rsidP="00871094">
      <w:pPr>
        <w:pStyle w:val="FootnoteText"/>
        <w:spacing w:after="0" w:line="240" w:lineRule="auto"/>
        <w:jc w:val="left"/>
        <w:rPr>
          <w:rFonts w:ascii="Franklin Gothic Book" w:hAnsi="Franklin Gothic Book"/>
          <w:sz w:val="18"/>
          <w:szCs w:val="18"/>
        </w:rPr>
      </w:pPr>
      <w:r w:rsidRPr="001373D2">
        <w:rPr>
          <w:rStyle w:val="FootnoteReference"/>
          <w:rFonts w:ascii="Franklin Gothic Book" w:hAnsi="Franklin Gothic Book"/>
          <w:sz w:val="18"/>
          <w:szCs w:val="18"/>
        </w:rPr>
        <w:footnoteRef/>
      </w:r>
      <w:r w:rsidRPr="001373D2">
        <w:rPr>
          <w:rFonts w:ascii="Franklin Gothic Book" w:hAnsi="Franklin Gothic Book"/>
          <w:sz w:val="18"/>
          <w:szCs w:val="18"/>
        </w:rPr>
        <w:t xml:space="preserve"> Guidance Note 18: SOE participation in EITI Reporting, </w:t>
      </w:r>
      <w:hyperlink r:id="rId8" w:history="1">
        <w:r w:rsidRPr="001373D2">
          <w:rPr>
            <w:rStyle w:val="Hyperlink"/>
            <w:rFonts w:ascii="Franklin Gothic Book" w:hAnsi="Franklin Gothic Book"/>
            <w:sz w:val="18"/>
            <w:szCs w:val="18"/>
          </w:rPr>
          <w:t>https://eiti.org/GN18</w:t>
        </w:r>
      </w:hyperlink>
    </w:p>
  </w:footnote>
  <w:footnote w:id="12">
    <w:p w14:paraId="4A60D685" w14:textId="47E84B64" w:rsidR="00BC6B8C" w:rsidRPr="001373D2" w:rsidRDefault="00BC6B8C" w:rsidP="00643C03">
      <w:pPr>
        <w:pStyle w:val="FootnoteText"/>
        <w:jc w:val="left"/>
        <w:rPr>
          <w:rFonts w:ascii="Franklin Gothic Book" w:hAnsi="Franklin Gothic Book"/>
          <w:sz w:val="18"/>
          <w:szCs w:val="18"/>
        </w:rPr>
      </w:pPr>
      <w:r w:rsidRPr="001373D2">
        <w:rPr>
          <w:rStyle w:val="FootnoteReference"/>
          <w:rFonts w:ascii="Franklin Gothic Book" w:hAnsi="Franklin Gothic Book"/>
          <w:sz w:val="18"/>
          <w:szCs w:val="18"/>
        </w:rPr>
        <w:footnoteRef/>
      </w:r>
      <w:r w:rsidRPr="001373D2">
        <w:rPr>
          <w:rFonts w:ascii="Franklin Gothic Book" w:hAnsi="Franklin Gothic Book"/>
          <w:sz w:val="18"/>
          <w:szCs w:val="18"/>
        </w:rPr>
        <w:t xml:space="preserve"> The latest version of the summary data template can be found at: </w:t>
      </w:r>
      <w:hyperlink r:id="rId9" w:history="1">
        <w:r w:rsidRPr="001373D2">
          <w:rPr>
            <w:rStyle w:val="Hyperlink"/>
            <w:rFonts w:ascii="Franklin Gothic Book" w:hAnsi="Franklin Gothic Book"/>
            <w:sz w:val="18"/>
            <w:szCs w:val="18"/>
          </w:rPr>
          <w:t>https://eiti.org/document/eiti-summary-data-template</w:t>
        </w:r>
      </w:hyperlink>
    </w:p>
  </w:footnote>
  <w:footnote w:id="13">
    <w:p w14:paraId="3823B9B8" w14:textId="77777777" w:rsidR="00BC6B8C" w:rsidRPr="001373D2" w:rsidRDefault="00BC6B8C" w:rsidP="00867973">
      <w:pPr>
        <w:pStyle w:val="FootnoteText"/>
        <w:rPr>
          <w:rFonts w:ascii="Franklin Gothic Book" w:hAnsi="Franklin Gothic Book"/>
          <w:sz w:val="18"/>
          <w:szCs w:val="18"/>
        </w:rPr>
      </w:pPr>
      <w:r w:rsidRPr="001373D2">
        <w:rPr>
          <w:rStyle w:val="FootnoteReference"/>
          <w:rFonts w:ascii="Franklin Gothic Book" w:hAnsi="Franklin Gothic Book"/>
          <w:sz w:val="18"/>
          <w:szCs w:val="18"/>
        </w:rPr>
        <w:footnoteRef/>
      </w:r>
      <w:r w:rsidRPr="001373D2">
        <w:rPr>
          <w:rFonts w:ascii="Franklin Gothic Book" w:hAnsi="Franklin Gothic Book"/>
          <w:sz w:val="18"/>
          <w:szCs w:val="18"/>
        </w:rPr>
        <w:t xml:space="preserve"> EITI Guidance note 24 on data quality and assurance, accessible </w:t>
      </w:r>
      <w:hyperlink r:id="rId10" w:history="1">
        <w:r w:rsidRPr="001373D2">
          <w:rPr>
            <w:rStyle w:val="Hyperlink"/>
            <w:rFonts w:ascii="Franklin Gothic Book" w:hAnsi="Franklin Gothic Book"/>
            <w:sz w:val="18"/>
            <w:szCs w:val="18"/>
          </w:rPr>
          <w:t>here</w:t>
        </w:r>
      </w:hyperlink>
      <w:r w:rsidRPr="001373D2">
        <w:rPr>
          <w:rFonts w:ascii="Franklin Gothic Book" w:hAnsi="Franklin Gothic Book"/>
          <w:sz w:val="18"/>
          <w:szCs w:val="18"/>
        </w:rPr>
        <w:t>.</w:t>
      </w:r>
    </w:p>
  </w:footnote>
  <w:footnote w:id="14">
    <w:p w14:paraId="2EEB242D" w14:textId="09BBA058" w:rsidR="00BC6B8C" w:rsidRPr="001373D2" w:rsidRDefault="00BC6B8C">
      <w:pPr>
        <w:pStyle w:val="FootnoteText"/>
        <w:rPr>
          <w:rFonts w:ascii="Franklin Gothic Book" w:hAnsi="Franklin Gothic Book"/>
          <w:sz w:val="18"/>
          <w:szCs w:val="18"/>
        </w:rPr>
      </w:pPr>
      <w:r w:rsidRPr="001373D2">
        <w:rPr>
          <w:rStyle w:val="FootnoteReference"/>
          <w:rFonts w:ascii="Franklin Gothic Book" w:hAnsi="Franklin Gothic Book"/>
          <w:sz w:val="18"/>
          <w:szCs w:val="18"/>
        </w:rPr>
        <w:footnoteRef/>
      </w:r>
      <w:r w:rsidRPr="001373D2">
        <w:rPr>
          <w:rFonts w:ascii="Franklin Gothic Book" w:hAnsi="Franklin Gothic Book"/>
          <w:sz w:val="18"/>
          <w:szCs w:val="18"/>
        </w:rPr>
        <w:t xml:space="preserve"> EITI Board Decision 2020-31/BC-290, </w:t>
      </w:r>
      <w:hyperlink r:id="rId11" w:history="1">
        <w:r w:rsidRPr="001373D2">
          <w:rPr>
            <w:rStyle w:val="Hyperlink"/>
            <w:rFonts w:ascii="Franklin Gothic Book" w:hAnsi="Franklin Gothic Book"/>
            <w:sz w:val="18"/>
            <w:szCs w:val="18"/>
          </w:rPr>
          <w:t>https://eiti.org/board-decision/2020-31</w:t>
        </w:r>
      </w:hyperlink>
      <w:r w:rsidRPr="001373D2">
        <w:rPr>
          <w:rFonts w:ascii="Franklin Gothic Book" w:hAnsi="Franklin Gothic Book"/>
          <w:sz w:val="18"/>
          <w:szCs w:val="18"/>
        </w:rPr>
        <w:t xml:space="preserve"> </w:t>
      </w:r>
    </w:p>
  </w:footnote>
  <w:footnote w:id="15">
    <w:p w14:paraId="0A636B6B" w14:textId="77777777" w:rsidR="00BC6B8C" w:rsidRPr="001373D2" w:rsidRDefault="00BC6B8C" w:rsidP="00B171F2">
      <w:pPr>
        <w:pStyle w:val="FootnoteText"/>
        <w:jc w:val="left"/>
        <w:rPr>
          <w:rFonts w:ascii="Franklin Gothic Book" w:hAnsi="Franklin Gothic Book"/>
          <w:sz w:val="18"/>
          <w:szCs w:val="18"/>
        </w:rPr>
      </w:pPr>
      <w:r w:rsidRPr="001373D2">
        <w:rPr>
          <w:rStyle w:val="FootnoteReference"/>
          <w:rFonts w:ascii="Franklin Gothic Book" w:hAnsi="Franklin Gothic Book"/>
          <w:sz w:val="18"/>
          <w:szCs w:val="18"/>
        </w:rPr>
        <w:footnoteRef/>
      </w:r>
      <w:r w:rsidRPr="001373D2">
        <w:rPr>
          <w:rFonts w:ascii="Franklin Gothic Book" w:hAnsi="Franklin Gothic Book"/>
          <w:sz w:val="18"/>
          <w:szCs w:val="18"/>
        </w:rPr>
        <w:t xml:space="preserve"> The latest version of the summary data template can be found at: </w:t>
      </w:r>
      <w:hyperlink r:id="rId12" w:history="1">
        <w:r w:rsidRPr="001373D2">
          <w:rPr>
            <w:rStyle w:val="Hyperlink"/>
            <w:rFonts w:ascii="Franklin Gothic Book" w:hAnsi="Franklin Gothic Book"/>
            <w:sz w:val="18"/>
            <w:szCs w:val="18"/>
          </w:rPr>
          <w:t>https://eiti.org/document/eiti-summary-data-template</w:t>
        </w:r>
      </w:hyperlink>
      <w:r w:rsidRPr="001373D2">
        <w:rPr>
          <w:rFonts w:ascii="Franklin Gothic Book" w:hAnsi="Franklin Gothic Book"/>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2356187"/>
      <w:docPartObj>
        <w:docPartGallery w:val="Page Numbers (Top of Page)"/>
        <w:docPartUnique/>
      </w:docPartObj>
    </w:sdtPr>
    <w:sdtEndPr>
      <w:rPr>
        <w:rFonts w:asciiTheme="minorHAnsi" w:hAnsiTheme="minorHAnsi"/>
        <w:noProof/>
      </w:rPr>
    </w:sdtEndPr>
    <w:sdtContent>
      <w:p w14:paraId="3D44BE91" w14:textId="545FB032" w:rsidR="00BC6B8C" w:rsidRPr="00A42F47" w:rsidRDefault="00BC6B8C" w:rsidP="00A42F47">
        <w:pPr>
          <w:pStyle w:val="Header"/>
          <w:spacing w:after="0"/>
          <w:jc w:val="right"/>
          <w:rPr>
            <w:rFonts w:asciiTheme="minorHAnsi" w:hAnsiTheme="minorHAnsi"/>
            <w:sz w:val="18"/>
            <w:szCs w:val="18"/>
          </w:rPr>
        </w:pPr>
      </w:p>
      <w:p w14:paraId="706A83E2" w14:textId="1F870213" w:rsidR="00BC6B8C" w:rsidRPr="0076696E" w:rsidRDefault="001373D2">
        <w:pPr>
          <w:pStyle w:val="Header"/>
          <w:jc w:val="right"/>
          <w:rPr>
            <w:rFonts w:asciiTheme="minorHAnsi" w:hAnsiTheme="minorHAnsi"/>
          </w:rPr>
        </w:pPr>
        <w:r>
          <w:rPr>
            <w:rFonts w:ascii="Franklin Gothic Book" w:hAnsi="Franklin Gothic Book"/>
            <w:sz w:val="18"/>
            <w:szCs w:val="18"/>
          </w:rPr>
          <w:t>Model</w:t>
        </w:r>
        <w:r w:rsidR="00BC6B8C" w:rsidRPr="00C50B66">
          <w:rPr>
            <w:rFonts w:ascii="Franklin Gothic Book" w:hAnsi="Franklin Gothic Book"/>
            <w:sz w:val="18"/>
            <w:szCs w:val="18"/>
          </w:rPr>
          <w:t xml:space="preserve"> Terms of Reference for EITI reporting 202</w:t>
        </w:r>
        <w:r>
          <w:rPr>
            <w:rFonts w:ascii="Franklin Gothic Book" w:hAnsi="Franklin Gothic Book"/>
            <w:sz w:val="18"/>
            <w:szCs w:val="18"/>
          </w:rPr>
          <w:t>1/22</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FFC37" w14:textId="425EA235" w:rsidR="00BC6B8C" w:rsidRPr="008F582B" w:rsidRDefault="008F582B" w:rsidP="008F582B">
    <w:pPr>
      <w:pStyle w:val="Header"/>
      <w:tabs>
        <w:tab w:val="clear" w:pos="4320"/>
        <w:tab w:val="clear" w:pos="8640"/>
        <w:tab w:val="left" w:pos="1605"/>
      </w:tabs>
      <w:jc w:val="left"/>
      <w:rPr>
        <w:rFonts w:ascii="Franklin Gothic Book" w:hAnsi="Franklin Gothic Book"/>
        <w:i/>
        <w:iCs/>
        <w:sz w:val="20"/>
        <w:szCs w:val="20"/>
      </w:rPr>
    </w:pPr>
    <w:r>
      <w:tab/>
    </w:r>
    <w:r>
      <w:tab/>
    </w:r>
    <w:r>
      <w:tab/>
    </w:r>
    <w:r>
      <w:tab/>
    </w:r>
    <w:r>
      <w:tab/>
    </w:r>
    <w:r>
      <w:tab/>
    </w:r>
    <w:r w:rsidR="00351DF8" w:rsidRPr="00351DF8">
      <w:rPr>
        <w:rFonts w:ascii="Franklin Gothic Book" w:hAnsi="Franklin Gothic Book"/>
        <w:i/>
        <w:iCs/>
        <w:sz w:val="20"/>
        <w:szCs w:val="20"/>
      </w:rPr>
      <w:t xml:space="preserve">Version updated </w:t>
    </w:r>
    <w:r w:rsidR="00A26F42">
      <w:rPr>
        <w:rFonts w:ascii="Franklin Gothic Book" w:hAnsi="Franklin Gothic Book"/>
        <w:i/>
        <w:iCs/>
        <w:sz w:val="20"/>
        <w:szCs w:val="20"/>
      </w:rPr>
      <w:t>November</w:t>
    </w:r>
    <w:r w:rsidR="00351DF8" w:rsidRPr="00351DF8">
      <w:rPr>
        <w:rFonts w:ascii="Franklin Gothic Book" w:hAnsi="Franklin Gothic Book"/>
        <w:i/>
        <w:iCs/>
        <w:sz w:val="20"/>
        <w:szCs w:val="20"/>
      </w:rPr>
      <w:t xml:space="preserve"> 2021</w:t>
    </w:r>
  </w:p>
  <w:p w14:paraId="3F472B59" w14:textId="77777777" w:rsidR="00BC6B8C" w:rsidRDefault="00BC6B8C" w:rsidP="00E010FF">
    <w:pPr>
      <w:pStyle w:val="Header"/>
      <w:tabs>
        <w:tab w:val="clear" w:pos="4320"/>
        <w:tab w:val="clear" w:pos="8640"/>
        <w:tab w:val="left" w:pos="1605"/>
      </w:tabs>
    </w:pPr>
  </w:p>
  <w:p w14:paraId="62CA2E75" w14:textId="071B598D" w:rsidR="00BC6B8C" w:rsidRDefault="00BC6B8C" w:rsidP="00E010FF">
    <w:pPr>
      <w:pStyle w:val="Header"/>
      <w:tabs>
        <w:tab w:val="clear" w:pos="4320"/>
        <w:tab w:val="clear" w:pos="8640"/>
        <w:tab w:val="left" w:pos="1605"/>
      </w:tabs>
    </w:pPr>
    <w:r>
      <w:rPr>
        <w:noProof/>
      </w:rPr>
      <w:drawing>
        <wp:anchor distT="0" distB="0" distL="114300" distR="114300" simplePos="0" relativeHeight="251658240" behindDoc="0" locked="0" layoutInCell="1" allowOverlap="1" wp14:anchorId="7FFE009D" wp14:editId="4F34A12F">
          <wp:simplePos x="0" y="0"/>
          <wp:positionH relativeFrom="column">
            <wp:posOffset>0</wp:posOffset>
          </wp:positionH>
          <wp:positionV relativeFrom="paragraph">
            <wp:posOffset>-550382</wp:posOffset>
          </wp:positionV>
          <wp:extent cx="1483360" cy="953135"/>
          <wp:effectExtent l="0" t="0" r="0" b="0"/>
          <wp:wrapTight wrapText="bothSides">
            <wp:wrapPolygon edited="0">
              <wp:start x="1110" y="1295"/>
              <wp:lineTo x="1110" y="18564"/>
              <wp:lineTo x="1942" y="19427"/>
              <wp:lineTo x="5548" y="20290"/>
              <wp:lineTo x="12483" y="20290"/>
              <wp:lineTo x="19140" y="19427"/>
              <wp:lineTo x="19973" y="18132"/>
              <wp:lineTo x="18863" y="15973"/>
              <wp:lineTo x="20250" y="11225"/>
              <wp:lineTo x="19973" y="1295"/>
              <wp:lineTo x="1110" y="1295"/>
            </wp:wrapPolygon>
          </wp:wrapTight>
          <wp:docPr id="25" name="Picture 66" descr="Logo_Gradient – Un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Logo_Gradient – Un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9CFD9" w14:textId="77777777" w:rsidR="00BC6B8C" w:rsidRDefault="00BC6B8C" w:rsidP="00E010FF">
    <w:pPr>
      <w:pStyle w:val="Header"/>
      <w:tabs>
        <w:tab w:val="clear" w:pos="4320"/>
        <w:tab w:val="clear" w:pos="8640"/>
        <w:tab w:val="left" w:pos="16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C183A"/>
    <w:multiLevelType w:val="hybridMultilevel"/>
    <w:tmpl w:val="324E41B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90C47B3"/>
    <w:multiLevelType w:val="hybridMultilevel"/>
    <w:tmpl w:val="35AA1766"/>
    <w:lvl w:ilvl="0" w:tplc="22F46710">
      <w:start w:val="4"/>
      <w:numFmt w:val="bullet"/>
      <w:lvlText w:val="-"/>
      <w:lvlJc w:val="left"/>
      <w:pPr>
        <w:ind w:left="720" w:hanging="360"/>
      </w:pPr>
      <w:rPr>
        <w:rFonts w:ascii="Franklin Gothic Book" w:eastAsia="Times New Roman" w:hAnsi="Franklin Gothic Book"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D0B1E"/>
    <w:multiLevelType w:val="multilevel"/>
    <w:tmpl w:val="668A3B1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415D32"/>
    <w:multiLevelType w:val="multilevel"/>
    <w:tmpl w:val="2F3EDBD4"/>
    <w:lvl w:ilvl="0">
      <w:start w:val="5"/>
      <w:numFmt w:val="decimal"/>
      <w:lvlText w:val="%1"/>
      <w:lvlJc w:val="left"/>
      <w:pPr>
        <w:ind w:left="360" w:hanging="360"/>
      </w:pPr>
      <w:rPr>
        <w:rFonts w:ascii="Myriad Pro SemiCond" w:hAnsi="Myriad Pro SemiCond" w:hint="default"/>
        <w:color w:val="auto"/>
      </w:rPr>
    </w:lvl>
    <w:lvl w:ilvl="1">
      <w:start w:val="4"/>
      <w:numFmt w:val="decimal"/>
      <w:lvlText w:val="%1.%2"/>
      <w:lvlJc w:val="left"/>
      <w:pPr>
        <w:ind w:left="360" w:hanging="360"/>
      </w:pPr>
      <w:rPr>
        <w:rFonts w:asciiTheme="minorHAnsi" w:hAnsiTheme="minorHAnsi" w:hint="default"/>
        <w:color w:val="auto"/>
      </w:rPr>
    </w:lvl>
    <w:lvl w:ilvl="2">
      <w:start w:val="1"/>
      <w:numFmt w:val="decimal"/>
      <w:lvlText w:val="%1.%2.%3"/>
      <w:lvlJc w:val="left"/>
      <w:pPr>
        <w:ind w:left="720" w:hanging="720"/>
      </w:pPr>
      <w:rPr>
        <w:rFonts w:ascii="Myriad Pro SemiCond" w:hAnsi="Myriad Pro SemiCond" w:hint="default"/>
        <w:color w:val="auto"/>
      </w:rPr>
    </w:lvl>
    <w:lvl w:ilvl="3">
      <w:start w:val="1"/>
      <w:numFmt w:val="decimal"/>
      <w:lvlText w:val="%1.%2.%3.%4"/>
      <w:lvlJc w:val="left"/>
      <w:pPr>
        <w:ind w:left="1080" w:hanging="1080"/>
      </w:pPr>
      <w:rPr>
        <w:rFonts w:ascii="Myriad Pro SemiCond" w:hAnsi="Myriad Pro SemiCond" w:hint="default"/>
        <w:color w:val="auto"/>
      </w:rPr>
    </w:lvl>
    <w:lvl w:ilvl="4">
      <w:start w:val="1"/>
      <w:numFmt w:val="decimal"/>
      <w:lvlText w:val="%1.%2.%3.%4.%5"/>
      <w:lvlJc w:val="left"/>
      <w:pPr>
        <w:ind w:left="1080" w:hanging="1080"/>
      </w:pPr>
      <w:rPr>
        <w:rFonts w:ascii="Myriad Pro SemiCond" w:hAnsi="Myriad Pro SemiCond" w:hint="default"/>
        <w:color w:val="auto"/>
      </w:rPr>
    </w:lvl>
    <w:lvl w:ilvl="5">
      <w:start w:val="1"/>
      <w:numFmt w:val="decimal"/>
      <w:lvlText w:val="%1.%2.%3.%4.%5.%6"/>
      <w:lvlJc w:val="left"/>
      <w:pPr>
        <w:ind w:left="1440" w:hanging="1440"/>
      </w:pPr>
      <w:rPr>
        <w:rFonts w:ascii="Myriad Pro SemiCond" w:hAnsi="Myriad Pro SemiCond" w:hint="default"/>
        <w:color w:val="auto"/>
      </w:rPr>
    </w:lvl>
    <w:lvl w:ilvl="6">
      <w:start w:val="1"/>
      <w:numFmt w:val="decimal"/>
      <w:lvlText w:val="%1.%2.%3.%4.%5.%6.%7"/>
      <w:lvlJc w:val="left"/>
      <w:pPr>
        <w:ind w:left="1440" w:hanging="1440"/>
      </w:pPr>
      <w:rPr>
        <w:rFonts w:ascii="Myriad Pro SemiCond" w:hAnsi="Myriad Pro SemiCond" w:hint="default"/>
        <w:color w:val="auto"/>
      </w:rPr>
    </w:lvl>
    <w:lvl w:ilvl="7">
      <w:start w:val="1"/>
      <w:numFmt w:val="decimal"/>
      <w:lvlText w:val="%1.%2.%3.%4.%5.%6.%7.%8"/>
      <w:lvlJc w:val="left"/>
      <w:pPr>
        <w:ind w:left="1800" w:hanging="1800"/>
      </w:pPr>
      <w:rPr>
        <w:rFonts w:ascii="Myriad Pro SemiCond" w:hAnsi="Myriad Pro SemiCond" w:hint="default"/>
        <w:color w:val="auto"/>
      </w:rPr>
    </w:lvl>
    <w:lvl w:ilvl="8">
      <w:start w:val="1"/>
      <w:numFmt w:val="decimal"/>
      <w:lvlText w:val="%1.%2.%3.%4.%5.%6.%7.%8.%9"/>
      <w:lvlJc w:val="left"/>
      <w:pPr>
        <w:ind w:left="1800" w:hanging="1800"/>
      </w:pPr>
      <w:rPr>
        <w:rFonts w:ascii="Myriad Pro SemiCond" w:hAnsi="Myriad Pro SemiCond" w:hint="default"/>
        <w:color w:val="auto"/>
      </w:rPr>
    </w:lvl>
  </w:abstractNum>
  <w:abstractNum w:abstractNumId="4" w15:restartNumberingAfterBreak="0">
    <w:nsid w:val="0CC9380E"/>
    <w:multiLevelType w:val="multilevel"/>
    <w:tmpl w:val="771E2A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B158A6"/>
    <w:multiLevelType w:val="hybridMultilevel"/>
    <w:tmpl w:val="3646ACBC"/>
    <w:lvl w:ilvl="0" w:tplc="0414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02E5976"/>
    <w:multiLevelType w:val="hybridMultilevel"/>
    <w:tmpl w:val="5044B624"/>
    <w:lvl w:ilvl="0" w:tplc="B81A5E68">
      <w:numFmt w:val="bullet"/>
      <w:lvlText w:val="-"/>
      <w:lvlJc w:val="left"/>
      <w:pPr>
        <w:ind w:left="720" w:hanging="360"/>
      </w:pPr>
      <w:rPr>
        <w:rFonts w:ascii="Franklin Gothic Book" w:eastAsia="Times New Roman" w:hAnsi="Franklin Gothic Book"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B304A"/>
    <w:multiLevelType w:val="hybridMultilevel"/>
    <w:tmpl w:val="11F2B026"/>
    <w:lvl w:ilvl="0" w:tplc="B07E830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FC4CC6"/>
    <w:multiLevelType w:val="hybridMultilevel"/>
    <w:tmpl w:val="1486DA24"/>
    <w:lvl w:ilvl="0" w:tplc="EEBEAB24">
      <w:start w:val="1"/>
      <w:numFmt w:val="lowerRoman"/>
      <w:lvlText w:val="%1."/>
      <w:lvlJc w:val="left"/>
      <w:pPr>
        <w:ind w:left="1429" w:hanging="72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F26C14"/>
    <w:multiLevelType w:val="hybridMultilevel"/>
    <w:tmpl w:val="1068A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333F4A"/>
    <w:multiLevelType w:val="hybridMultilevel"/>
    <w:tmpl w:val="3C501A62"/>
    <w:lvl w:ilvl="0" w:tplc="85D8422E">
      <w:start w:val="1"/>
      <w:numFmt w:val="lowerRoman"/>
      <w:lvlText w:val="%1."/>
      <w:lvlJc w:val="left"/>
      <w:pPr>
        <w:ind w:left="1080" w:hanging="720"/>
      </w:pPr>
      <w:rPr>
        <w:rFonts w:hint="default"/>
        <w:b w:val="0"/>
        <w:i w:val="0"/>
        <w:i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C6696E"/>
    <w:multiLevelType w:val="hybridMultilevel"/>
    <w:tmpl w:val="1486DA24"/>
    <w:lvl w:ilvl="0" w:tplc="EEBEAB24">
      <w:start w:val="1"/>
      <w:numFmt w:val="lowerRoman"/>
      <w:lvlText w:val="%1."/>
      <w:lvlJc w:val="left"/>
      <w:pPr>
        <w:ind w:left="1429" w:hanging="72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305170"/>
    <w:multiLevelType w:val="hybridMultilevel"/>
    <w:tmpl w:val="FF74C6E4"/>
    <w:lvl w:ilvl="0" w:tplc="0414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C11334"/>
    <w:multiLevelType w:val="hybridMultilevel"/>
    <w:tmpl w:val="3C501A62"/>
    <w:lvl w:ilvl="0" w:tplc="85D8422E">
      <w:start w:val="1"/>
      <w:numFmt w:val="lowerRoman"/>
      <w:lvlText w:val="%1."/>
      <w:lvlJc w:val="left"/>
      <w:pPr>
        <w:ind w:left="1080" w:hanging="720"/>
      </w:pPr>
      <w:rPr>
        <w:rFonts w:hint="default"/>
        <w:b w:val="0"/>
        <w:i w:val="0"/>
        <w:i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038F3D"/>
    <w:multiLevelType w:val="hybridMultilevel"/>
    <w:tmpl w:val="7322A3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1B66EB2"/>
    <w:multiLevelType w:val="multilevel"/>
    <w:tmpl w:val="7242EB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5D62EBB"/>
    <w:multiLevelType w:val="hybridMultilevel"/>
    <w:tmpl w:val="D55A8034"/>
    <w:lvl w:ilvl="0" w:tplc="31CA88E2">
      <w:start w:val="1"/>
      <w:numFmt w:val="bullet"/>
      <w:lvlText w:val="-"/>
      <w:lvlJc w:val="left"/>
      <w:pPr>
        <w:ind w:left="643" w:hanging="360"/>
      </w:pPr>
      <w:rPr>
        <w:rFonts w:ascii="Franklin Gothic Book" w:eastAsia="Times New Roman" w:hAnsi="Franklin Gothic Book" w:cs="Calibri" w:hint="default"/>
      </w:rPr>
    </w:lvl>
    <w:lvl w:ilvl="1" w:tplc="31CA88E2">
      <w:start w:val="1"/>
      <w:numFmt w:val="bullet"/>
      <w:lvlText w:val="-"/>
      <w:lvlJc w:val="left"/>
      <w:pPr>
        <w:ind w:left="1440" w:hanging="360"/>
      </w:pPr>
      <w:rPr>
        <w:rFonts w:ascii="Franklin Gothic Book" w:eastAsia="Times New Roman" w:hAnsi="Franklin Gothic Book"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1542A"/>
    <w:multiLevelType w:val="hybridMultilevel"/>
    <w:tmpl w:val="14EAC58E"/>
    <w:lvl w:ilvl="0" w:tplc="083C5FA0">
      <w:start w:val="1"/>
      <w:numFmt w:val="bullet"/>
      <w:lvlText w:val="-"/>
      <w:lvlJc w:val="left"/>
      <w:pPr>
        <w:ind w:left="720" w:hanging="360"/>
      </w:pPr>
      <w:rPr>
        <w:rFonts w:ascii="Franklin Gothic Book" w:eastAsia="Times New Roman" w:hAnsi="Franklin Gothic Book"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562B5C"/>
    <w:multiLevelType w:val="hybridMultilevel"/>
    <w:tmpl w:val="2DAEC13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14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333FDA"/>
    <w:multiLevelType w:val="hybridMultilevel"/>
    <w:tmpl w:val="FE8E39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840801"/>
    <w:multiLevelType w:val="multilevel"/>
    <w:tmpl w:val="7242EB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BD22805"/>
    <w:multiLevelType w:val="hybridMultilevel"/>
    <w:tmpl w:val="820A4EC4"/>
    <w:lvl w:ilvl="0" w:tplc="3C7254AA">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7C084C"/>
    <w:multiLevelType w:val="hybridMultilevel"/>
    <w:tmpl w:val="0EEE0E62"/>
    <w:lvl w:ilvl="0" w:tplc="0C090011">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DCB6003"/>
    <w:multiLevelType w:val="multilevel"/>
    <w:tmpl w:val="5EFC7C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3664F4F"/>
    <w:multiLevelType w:val="hybridMultilevel"/>
    <w:tmpl w:val="8116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1F6A1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50545AFA"/>
    <w:multiLevelType w:val="multilevel"/>
    <w:tmpl w:val="FD261D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1432EF9"/>
    <w:multiLevelType w:val="hybridMultilevel"/>
    <w:tmpl w:val="7EBEBB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84E6AF1"/>
    <w:multiLevelType w:val="hybridMultilevel"/>
    <w:tmpl w:val="FF340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184545"/>
    <w:multiLevelType w:val="hybridMultilevel"/>
    <w:tmpl w:val="576A1218"/>
    <w:lvl w:ilvl="0" w:tplc="6F741E5C">
      <w:start w:val="1"/>
      <w:numFmt w:val="lowerRoman"/>
      <w:lvlText w:val="%1."/>
      <w:lvlJc w:val="left"/>
      <w:pPr>
        <w:ind w:left="1080" w:hanging="72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4051BC"/>
    <w:multiLevelType w:val="hybridMultilevel"/>
    <w:tmpl w:val="4282F3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EE26DD"/>
    <w:multiLevelType w:val="multilevel"/>
    <w:tmpl w:val="620CE6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C50143E"/>
    <w:multiLevelType w:val="multilevel"/>
    <w:tmpl w:val="9B4AEE76"/>
    <w:lvl w:ilvl="0">
      <w:start w:val="1"/>
      <w:numFmt w:val="decimal"/>
      <w:lvlText w:val="%1"/>
      <w:lvlJc w:val="left"/>
      <w:pPr>
        <w:ind w:left="420" w:hanging="420"/>
      </w:pPr>
      <w:rPr>
        <w:rFonts w:hint="default"/>
      </w:rPr>
    </w:lvl>
    <w:lvl w:ilvl="1">
      <w:start w:val="1"/>
      <w:numFmt w:val="bullet"/>
      <w:lvlText w:val=""/>
      <w:lvlJc w:val="left"/>
      <w:pPr>
        <w:ind w:left="420" w:hanging="4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73508C"/>
    <w:multiLevelType w:val="hybridMultilevel"/>
    <w:tmpl w:val="14E4D0C0"/>
    <w:lvl w:ilvl="0" w:tplc="C4068CA4">
      <w:start w:val="3"/>
      <w:numFmt w:val="bullet"/>
      <w:lvlText w:val="-"/>
      <w:lvlJc w:val="left"/>
      <w:pPr>
        <w:ind w:left="720" w:hanging="360"/>
      </w:pPr>
      <w:rPr>
        <w:rFonts w:ascii="Myriad Pro SemiCond" w:eastAsia="Times New Roman" w:hAnsi="Myriad Pro SemiCond"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91334A"/>
    <w:multiLevelType w:val="hybridMultilevel"/>
    <w:tmpl w:val="C0E0F2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27"/>
  </w:num>
  <w:num w:numId="4">
    <w:abstractNumId w:val="18"/>
  </w:num>
  <w:num w:numId="5">
    <w:abstractNumId w:val="9"/>
  </w:num>
  <w:num w:numId="6">
    <w:abstractNumId w:val="15"/>
  </w:num>
  <w:num w:numId="7">
    <w:abstractNumId w:val="31"/>
  </w:num>
  <w:num w:numId="8">
    <w:abstractNumId w:val="23"/>
  </w:num>
  <w:num w:numId="9">
    <w:abstractNumId w:val="4"/>
  </w:num>
  <w:num w:numId="10">
    <w:abstractNumId w:val="30"/>
  </w:num>
  <w:num w:numId="11">
    <w:abstractNumId w:val="12"/>
  </w:num>
  <w:num w:numId="12">
    <w:abstractNumId w:val="5"/>
  </w:num>
  <w:num w:numId="13">
    <w:abstractNumId w:val="32"/>
  </w:num>
  <w:num w:numId="14">
    <w:abstractNumId w:val="3"/>
  </w:num>
  <w:num w:numId="15">
    <w:abstractNumId w:val="2"/>
  </w:num>
  <w:num w:numId="16">
    <w:abstractNumId w:val="0"/>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6"/>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2"/>
  </w:num>
  <w:num w:numId="34">
    <w:abstractNumId w:val="16"/>
  </w:num>
  <w:num w:numId="35">
    <w:abstractNumId w:val="17"/>
  </w:num>
  <w:num w:numId="36">
    <w:abstractNumId w:val="8"/>
  </w:num>
  <w:num w:numId="37">
    <w:abstractNumId w:val="24"/>
  </w:num>
  <w:num w:numId="38">
    <w:abstractNumId w:val="1"/>
  </w:num>
  <w:num w:numId="39">
    <w:abstractNumId w:val="14"/>
  </w:num>
  <w:num w:numId="40">
    <w:abstractNumId w:val="21"/>
  </w:num>
  <w:num w:numId="41">
    <w:abstractNumId w:val="29"/>
  </w:num>
  <w:num w:numId="42">
    <w:abstractNumId w:val="10"/>
  </w:num>
  <w:num w:numId="43">
    <w:abstractNumId w:val="7"/>
  </w:num>
  <w:num w:numId="44">
    <w:abstractNumId w:val="20"/>
  </w:num>
  <w:num w:numId="45">
    <w:abstractNumId w:val="11"/>
  </w:num>
  <w:num w:numId="46">
    <w:abstractNumId w:val="13"/>
  </w:num>
  <w:num w:numId="47">
    <w:abstractNumId w:val="33"/>
  </w:num>
  <w:num w:numId="48">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zMTE3MrUwNjQyNbJQ0lEKTi0uzszPAykwrAUAXTRi8iwAAAA="/>
  </w:docVars>
  <w:rsids>
    <w:rsidRoot w:val="00D677CD"/>
    <w:rsid w:val="00000B21"/>
    <w:rsid w:val="00003E3D"/>
    <w:rsid w:val="00004866"/>
    <w:rsid w:val="00006E51"/>
    <w:rsid w:val="00016703"/>
    <w:rsid w:val="0002097E"/>
    <w:rsid w:val="00020B6F"/>
    <w:rsid w:val="000336AC"/>
    <w:rsid w:val="00040B14"/>
    <w:rsid w:val="00041A18"/>
    <w:rsid w:val="00044C3D"/>
    <w:rsid w:val="00045305"/>
    <w:rsid w:val="00045B28"/>
    <w:rsid w:val="00050B69"/>
    <w:rsid w:val="0006143C"/>
    <w:rsid w:val="00064293"/>
    <w:rsid w:val="00067ABB"/>
    <w:rsid w:val="00071F95"/>
    <w:rsid w:val="00072803"/>
    <w:rsid w:val="0007363C"/>
    <w:rsid w:val="00082BFF"/>
    <w:rsid w:val="00082F5C"/>
    <w:rsid w:val="00085173"/>
    <w:rsid w:val="00085553"/>
    <w:rsid w:val="00085767"/>
    <w:rsid w:val="00087E80"/>
    <w:rsid w:val="0009123C"/>
    <w:rsid w:val="00093361"/>
    <w:rsid w:val="000956AE"/>
    <w:rsid w:val="00096EAE"/>
    <w:rsid w:val="000A1558"/>
    <w:rsid w:val="000A4351"/>
    <w:rsid w:val="000A49AD"/>
    <w:rsid w:val="000B0A4F"/>
    <w:rsid w:val="000B4B42"/>
    <w:rsid w:val="000C27ED"/>
    <w:rsid w:val="000C2E14"/>
    <w:rsid w:val="000C5E9C"/>
    <w:rsid w:val="000C69CF"/>
    <w:rsid w:val="000C712A"/>
    <w:rsid w:val="000D0418"/>
    <w:rsid w:val="000D124D"/>
    <w:rsid w:val="000D4542"/>
    <w:rsid w:val="000D4A60"/>
    <w:rsid w:val="000E0F38"/>
    <w:rsid w:val="000E30E0"/>
    <w:rsid w:val="000E4A0E"/>
    <w:rsid w:val="000E7C96"/>
    <w:rsid w:val="000F1A9A"/>
    <w:rsid w:val="000F3455"/>
    <w:rsid w:val="000F3F8D"/>
    <w:rsid w:val="000F4098"/>
    <w:rsid w:val="000F4868"/>
    <w:rsid w:val="000F7722"/>
    <w:rsid w:val="001034C5"/>
    <w:rsid w:val="0010480C"/>
    <w:rsid w:val="0010497E"/>
    <w:rsid w:val="00105276"/>
    <w:rsid w:val="0010643B"/>
    <w:rsid w:val="00107111"/>
    <w:rsid w:val="00111F26"/>
    <w:rsid w:val="001133A8"/>
    <w:rsid w:val="0011470F"/>
    <w:rsid w:val="00114788"/>
    <w:rsid w:val="00115458"/>
    <w:rsid w:val="00115F86"/>
    <w:rsid w:val="00117D77"/>
    <w:rsid w:val="00121A5A"/>
    <w:rsid w:val="001221D3"/>
    <w:rsid w:val="00126D9B"/>
    <w:rsid w:val="00131C55"/>
    <w:rsid w:val="001337BB"/>
    <w:rsid w:val="001373D2"/>
    <w:rsid w:val="00140B01"/>
    <w:rsid w:val="00140E4B"/>
    <w:rsid w:val="00140ECD"/>
    <w:rsid w:val="00146179"/>
    <w:rsid w:val="00146918"/>
    <w:rsid w:val="00155F88"/>
    <w:rsid w:val="001620C0"/>
    <w:rsid w:val="00163FFF"/>
    <w:rsid w:val="00165E27"/>
    <w:rsid w:val="00166558"/>
    <w:rsid w:val="00166588"/>
    <w:rsid w:val="00172BB5"/>
    <w:rsid w:val="00173CFD"/>
    <w:rsid w:val="0018051C"/>
    <w:rsid w:val="001820DD"/>
    <w:rsid w:val="001822EB"/>
    <w:rsid w:val="00187078"/>
    <w:rsid w:val="001901E5"/>
    <w:rsid w:val="00194A5E"/>
    <w:rsid w:val="00195E6B"/>
    <w:rsid w:val="001A3E1D"/>
    <w:rsid w:val="001A4653"/>
    <w:rsid w:val="001A6DFD"/>
    <w:rsid w:val="001A6ECF"/>
    <w:rsid w:val="001B0444"/>
    <w:rsid w:val="001B27CA"/>
    <w:rsid w:val="001B331B"/>
    <w:rsid w:val="001B489C"/>
    <w:rsid w:val="001B7506"/>
    <w:rsid w:val="001C024F"/>
    <w:rsid w:val="001C41BA"/>
    <w:rsid w:val="001D53A1"/>
    <w:rsid w:val="001E2D50"/>
    <w:rsid w:val="001E4A76"/>
    <w:rsid w:val="001E7267"/>
    <w:rsid w:val="001F1861"/>
    <w:rsid w:val="001F4344"/>
    <w:rsid w:val="001F45F5"/>
    <w:rsid w:val="001F673A"/>
    <w:rsid w:val="001F7A24"/>
    <w:rsid w:val="002030C8"/>
    <w:rsid w:val="002038A6"/>
    <w:rsid w:val="002069AB"/>
    <w:rsid w:val="002154B0"/>
    <w:rsid w:val="00216784"/>
    <w:rsid w:val="002170C7"/>
    <w:rsid w:val="002170E4"/>
    <w:rsid w:val="002207F5"/>
    <w:rsid w:val="002268D0"/>
    <w:rsid w:val="00233966"/>
    <w:rsid w:val="002356D7"/>
    <w:rsid w:val="00235DCC"/>
    <w:rsid w:val="00240CA7"/>
    <w:rsid w:val="00241B1D"/>
    <w:rsid w:val="002451D6"/>
    <w:rsid w:val="00245F84"/>
    <w:rsid w:val="00246186"/>
    <w:rsid w:val="002476AC"/>
    <w:rsid w:val="00250D33"/>
    <w:rsid w:val="00251204"/>
    <w:rsid w:val="002513D0"/>
    <w:rsid w:val="00251B42"/>
    <w:rsid w:val="00253CFB"/>
    <w:rsid w:val="00256359"/>
    <w:rsid w:val="00261672"/>
    <w:rsid w:val="00262DC5"/>
    <w:rsid w:val="00264AC6"/>
    <w:rsid w:val="0026655C"/>
    <w:rsid w:val="00267F5C"/>
    <w:rsid w:val="002729E9"/>
    <w:rsid w:val="00273F7D"/>
    <w:rsid w:val="0027598A"/>
    <w:rsid w:val="00276EB9"/>
    <w:rsid w:val="00281D13"/>
    <w:rsid w:val="0028461B"/>
    <w:rsid w:val="002862DA"/>
    <w:rsid w:val="002A0BA2"/>
    <w:rsid w:val="002A4F57"/>
    <w:rsid w:val="002A5655"/>
    <w:rsid w:val="002B10BC"/>
    <w:rsid w:val="002B1D40"/>
    <w:rsid w:val="002B38B1"/>
    <w:rsid w:val="002B5FC7"/>
    <w:rsid w:val="002B7C3D"/>
    <w:rsid w:val="002C1923"/>
    <w:rsid w:val="002C44EF"/>
    <w:rsid w:val="002C5448"/>
    <w:rsid w:val="002D1266"/>
    <w:rsid w:val="002D5D38"/>
    <w:rsid w:val="002E179B"/>
    <w:rsid w:val="002E1A66"/>
    <w:rsid w:val="002E33A0"/>
    <w:rsid w:val="002E3E1C"/>
    <w:rsid w:val="002E4A76"/>
    <w:rsid w:val="002E5374"/>
    <w:rsid w:val="002E703F"/>
    <w:rsid w:val="002F06C2"/>
    <w:rsid w:val="002F14CC"/>
    <w:rsid w:val="002F3AE8"/>
    <w:rsid w:val="002F3E5D"/>
    <w:rsid w:val="002F5123"/>
    <w:rsid w:val="002F6551"/>
    <w:rsid w:val="003016D8"/>
    <w:rsid w:val="00301C19"/>
    <w:rsid w:val="00303851"/>
    <w:rsid w:val="00304DFF"/>
    <w:rsid w:val="003052D6"/>
    <w:rsid w:val="00310D30"/>
    <w:rsid w:val="003134ED"/>
    <w:rsid w:val="00313840"/>
    <w:rsid w:val="00314111"/>
    <w:rsid w:val="00317914"/>
    <w:rsid w:val="00323E69"/>
    <w:rsid w:val="003256FA"/>
    <w:rsid w:val="0032590A"/>
    <w:rsid w:val="0032776B"/>
    <w:rsid w:val="0033057C"/>
    <w:rsid w:val="00331633"/>
    <w:rsid w:val="00332190"/>
    <w:rsid w:val="0033281A"/>
    <w:rsid w:val="00337A0C"/>
    <w:rsid w:val="0034385E"/>
    <w:rsid w:val="00347BB7"/>
    <w:rsid w:val="00351DF8"/>
    <w:rsid w:val="0035386A"/>
    <w:rsid w:val="003553FF"/>
    <w:rsid w:val="00355C74"/>
    <w:rsid w:val="00356041"/>
    <w:rsid w:val="003563DC"/>
    <w:rsid w:val="00362C05"/>
    <w:rsid w:val="003630C8"/>
    <w:rsid w:val="00363386"/>
    <w:rsid w:val="00366F5A"/>
    <w:rsid w:val="0037028D"/>
    <w:rsid w:val="003748A4"/>
    <w:rsid w:val="0037740C"/>
    <w:rsid w:val="00377469"/>
    <w:rsid w:val="00377BDD"/>
    <w:rsid w:val="00381F47"/>
    <w:rsid w:val="0038212B"/>
    <w:rsid w:val="00382596"/>
    <w:rsid w:val="00382FC9"/>
    <w:rsid w:val="003850E2"/>
    <w:rsid w:val="00392C26"/>
    <w:rsid w:val="003978DC"/>
    <w:rsid w:val="003A0F8A"/>
    <w:rsid w:val="003A0FC2"/>
    <w:rsid w:val="003A1C3D"/>
    <w:rsid w:val="003A2CE4"/>
    <w:rsid w:val="003A532A"/>
    <w:rsid w:val="003A535C"/>
    <w:rsid w:val="003A619E"/>
    <w:rsid w:val="003A6E94"/>
    <w:rsid w:val="003B160C"/>
    <w:rsid w:val="003B38E4"/>
    <w:rsid w:val="003C000B"/>
    <w:rsid w:val="003C03B7"/>
    <w:rsid w:val="003C4A74"/>
    <w:rsid w:val="003C634D"/>
    <w:rsid w:val="003D226F"/>
    <w:rsid w:val="003D7F63"/>
    <w:rsid w:val="003E2E5A"/>
    <w:rsid w:val="003E39DA"/>
    <w:rsid w:val="003E4740"/>
    <w:rsid w:val="003E4D98"/>
    <w:rsid w:val="003E77E0"/>
    <w:rsid w:val="003F2511"/>
    <w:rsid w:val="003F2F49"/>
    <w:rsid w:val="003F49CA"/>
    <w:rsid w:val="003F57AB"/>
    <w:rsid w:val="003F70B7"/>
    <w:rsid w:val="00400BDD"/>
    <w:rsid w:val="00400FCB"/>
    <w:rsid w:val="0040188E"/>
    <w:rsid w:val="004034EA"/>
    <w:rsid w:val="00404067"/>
    <w:rsid w:val="004050EE"/>
    <w:rsid w:val="00405349"/>
    <w:rsid w:val="0040583F"/>
    <w:rsid w:val="00406A59"/>
    <w:rsid w:val="00410D0E"/>
    <w:rsid w:val="0041107A"/>
    <w:rsid w:val="00412E05"/>
    <w:rsid w:val="00414EB8"/>
    <w:rsid w:val="00415562"/>
    <w:rsid w:val="00420E89"/>
    <w:rsid w:val="00421DAB"/>
    <w:rsid w:val="004230EE"/>
    <w:rsid w:val="00424F93"/>
    <w:rsid w:val="004302B0"/>
    <w:rsid w:val="004305C9"/>
    <w:rsid w:val="00430C70"/>
    <w:rsid w:val="00430CC3"/>
    <w:rsid w:val="004376E5"/>
    <w:rsid w:val="004403B8"/>
    <w:rsid w:val="00441683"/>
    <w:rsid w:val="00443387"/>
    <w:rsid w:val="0044577E"/>
    <w:rsid w:val="00446229"/>
    <w:rsid w:val="00447788"/>
    <w:rsid w:val="004510AE"/>
    <w:rsid w:val="004533B4"/>
    <w:rsid w:val="004537FC"/>
    <w:rsid w:val="00453CFC"/>
    <w:rsid w:val="0045653D"/>
    <w:rsid w:val="00456F3D"/>
    <w:rsid w:val="0046156F"/>
    <w:rsid w:val="0046174A"/>
    <w:rsid w:val="00461F0B"/>
    <w:rsid w:val="00465437"/>
    <w:rsid w:val="00476841"/>
    <w:rsid w:val="00477477"/>
    <w:rsid w:val="00480F03"/>
    <w:rsid w:val="00483FC4"/>
    <w:rsid w:val="00487403"/>
    <w:rsid w:val="0049078D"/>
    <w:rsid w:val="00492549"/>
    <w:rsid w:val="0049300B"/>
    <w:rsid w:val="00493C5C"/>
    <w:rsid w:val="0049440B"/>
    <w:rsid w:val="00494FA1"/>
    <w:rsid w:val="00496D3F"/>
    <w:rsid w:val="004A0BC8"/>
    <w:rsid w:val="004A124E"/>
    <w:rsid w:val="004A2379"/>
    <w:rsid w:val="004A2C95"/>
    <w:rsid w:val="004A303C"/>
    <w:rsid w:val="004A4AE3"/>
    <w:rsid w:val="004A5A31"/>
    <w:rsid w:val="004B4781"/>
    <w:rsid w:val="004B58E3"/>
    <w:rsid w:val="004C03A9"/>
    <w:rsid w:val="004C0AC3"/>
    <w:rsid w:val="004C3DBA"/>
    <w:rsid w:val="004C650D"/>
    <w:rsid w:val="004C7A5A"/>
    <w:rsid w:val="004D3AF6"/>
    <w:rsid w:val="004D6222"/>
    <w:rsid w:val="004E0553"/>
    <w:rsid w:val="004E18A4"/>
    <w:rsid w:val="004E22D4"/>
    <w:rsid w:val="004E2CCB"/>
    <w:rsid w:val="004E42F0"/>
    <w:rsid w:val="004E619D"/>
    <w:rsid w:val="004E6529"/>
    <w:rsid w:val="004E76B0"/>
    <w:rsid w:val="004F18CA"/>
    <w:rsid w:val="004F1C6F"/>
    <w:rsid w:val="004F36C7"/>
    <w:rsid w:val="004F3F92"/>
    <w:rsid w:val="004F5EA9"/>
    <w:rsid w:val="004F652B"/>
    <w:rsid w:val="005002ED"/>
    <w:rsid w:val="00501CC3"/>
    <w:rsid w:val="00503476"/>
    <w:rsid w:val="0050591D"/>
    <w:rsid w:val="005076EA"/>
    <w:rsid w:val="00507E08"/>
    <w:rsid w:val="005103DA"/>
    <w:rsid w:val="00513544"/>
    <w:rsid w:val="00520051"/>
    <w:rsid w:val="0052253E"/>
    <w:rsid w:val="00523AE2"/>
    <w:rsid w:val="00523E0D"/>
    <w:rsid w:val="0052583C"/>
    <w:rsid w:val="005266B3"/>
    <w:rsid w:val="005307D7"/>
    <w:rsid w:val="00531F88"/>
    <w:rsid w:val="005338A4"/>
    <w:rsid w:val="005378F7"/>
    <w:rsid w:val="005403F9"/>
    <w:rsid w:val="00542229"/>
    <w:rsid w:val="0054520C"/>
    <w:rsid w:val="00545E08"/>
    <w:rsid w:val="0054779C"/>
    <w:rsid w:val="0055391F"/>
    <w:rsid w:val="005557A0"/>
    <w:rsid w:val="00565AF0"/>
    <w:rsid w:val="00570F75"/>
    <w:rsid w:val="00573F67"/>
    <w:rsid w:val="005758D5"/>
    <w:rsid w:val="0058045C"/>
    <w:rsid w:val="00580C24"/>
    <w:rsid w:val="00582C0D"/>
    <w:rsid w:val="005837AC"/>
    <w:rsid w:val="0058735E"/>
    <w:rsid w:val="00587490"/>
    <w:rsid w:val="005921D1"/>
    <w:rsid w:val="005941C4"/>
    <w:rsid w:val="00596B85"/>
    <w:rsid w:val="005971D2"/>
    <w:rsid w:val="005A11E9"/>
    <w:rsid w:val="005A1A99"/>
    <w:rsid w:val="005A2ACF"/>
    <w:rsid w:val="005B35B1"/>
    <w:rsid w:val="005B54BE"/>
    <w:rsid w:val="005B7335"/>
    <w:rsid w:val="005B74A3"/>
    <w:rsid w:val="005B7B0E"/>
    <w:rsid w:val="005C244D"/>
    <w:rsid w:val="005C256C"/>
    <w:rsid w:val="005C4103"/>
    <w:rsid w:val="005C4802"/>
    <w:rsid w:val="005D0EFB"/>
    <w:rsid w:val="005D1EBF"/>
    <w:rsid w:val="005D32CF"/>
    <w:rsid w:val="005D394D"/>
    <w:rsid w:val="005D53B8"/>
    <w:rsid w:val="005D672E"/>
    <w:rsid w:val="005D76D4"/>
    <w:rsid w:val="005E09CF"/>
    <w:rsid w:val="005E164C"/>
    <w:rsid w:val="005E2E90"/>
    <w:rsid w:val="005E2EB7"/>
    <w:rsid w:val="005E3233"/>
    <w:rsid w:val="005E3BF3"/>
    <w:rsid w:val="005E426C"/>
    <w:rsid w:val="005E4DA1"/>
    <w:rsid w:val="005F0BFB"/>
    <w:rsid w:val="005F0D7F"/>
    <w:rsid w:val="005F1E72"/>
    <w:rsid w:val="005F2E9F"/>
    <w:rsid w:val="005F304E"/>
    <w:rsid w:val="005F5CA5"/>
    <w:rsid w:val="006002E8"/>
    <w:rsid w:val="006004D2"/>
    <w:rsid w:val="00601E7D"/>
    <w:rsid w:val="006031B1"/>
    <w:rsid w:val="00605D9E"/>
    <w:rsid w:val="00607E13"/>
    <w:rsid w:val="00610208"/>
    <w:rsid w:val="006120AD"/>
    <w:rsid w:val="0061389A"/>
    <w:rsid w:val="006179BB"/>
    <w:rsid w:val="0062146C"/>
    <w:rsid w:val="00621E68"/>
    <w:rsid w:val="00623309"/>
    <w:rsid w:val="0062538D"/>
    <w:rsid w:val="00625B47"/>
    <w:rsid w:val="006276D9"/>
    <w:rsid w:val="00632774"/>
    <w:rsid w:val="00636FD9"/>
    <w:rsid w:val="00642DBD"/>
    <w:rsid w:val="00643C03"/>
    <w:rsid w:val="00645A89"/>
    <w:rsid w:val="006468E2"/>
    <w:rsid w:val="00646AF7"/>
    <w:rsid w:val="00651E15"/>
    <w:rsid w:val="00652573"/>
    <w:rsid w:val="00653310"/>
    <w:rsid w:val="00653314"/>
    <w:rsid w:val="006614B1"/>
    <w:rsid w:val="00663A17"/>
    <w:rsid w:val="00664F35"/>
    <w:rsid w:val="0067657B"/>
    <w:rsid w:val="00677056"/>
    <w:rsid w:val="00681D99"/>
    <w:rsid w:val="006829BC"/>
    <w:rsid w:val="00682F65"/>
    <w:rsid w:val="00685AF2"/>
    <w:rsid w:val="0069023C"/>
    <w:rsid w:val="00690FAD"/>
    <w:rsid w:val="0069432C"/>
    <w:rsid w:val="006949B0"/>
    <w:rsid w:val="006A3B56"/>
    <w:rsid w:val="006A4223"/>
    <w:rsid w:val="006A5140"/>
    <w:rsid w:val="006A6AFF"/>
    <w:rsid w:val="006B29E6"/>
    <w:rsid w:val="006B2A70"/>
    <w:rsid w:val="006B300C"/>
    <w:rsid w:val="006B5E43"/>
    <w:rsid w:val="006B6E94"/>
    <w:rsid w:val="006B6F2E"/>
    <w:rsid w:val="006C0E8F"/>
    <w:rsid w:val="006C3AA6"/>
    <w:rsid w:val="006D1737"/>
    <w:rsid w:val="006D1DEF"/>
    <w:rsid w:val="006D24E0"/>
    <w:rsid w:val="006D5352"/>
    <w:rsid w:val="006E44BE"/>
    <w:rsid w:val="006E627D"/>
    <w:rsid w:val="006F408B"/>
    <w:rsid w:val="006F706B"/>
    <w:rsid w:val="006F7243"/>
    <w:rsid w:val="00702BF1"/>
    <w:rsid w:val="00703700"/>
    <w:rsid w:val="00704AC8"/>
    <w:rsid w:val="00714246"/>
    <w:rsid w:val="0071548F"/>
    <w:rsid w:val="007159AA"/>
    <w:rsid w:val="00715E06"/>
    <w:rsid w:val="00717706"/>
    <w:rsid w:val="007204FB"/>
    <w:rsid w:val="00721940"/>
    <w:rsid w:val="007268E6"/>
    <w:rsid w:val="00726EE7"/>
    <w:rsid w:val="0073165D"/>
    <w:rsid w:val="00732D3D"/>
    <w:rsid w:val="007333DA"/>
    <w:rsid w:val="00733CC3"/>
    <w:rsid w:val="0073751E"/>
    <w:rsid w:val="0074081F"/>
    <w:rsid w:val="00743087"/>
    <w:rsid w:val="00744A00"/>
    <w:rsid w:val="00747A8C"/>
    <w:rsid w:val="00752133"/>
    <w:rsid w:val="007529AD"/>
    <w:rsid w:val="00753C29"/>
    <w:rsid w:val="00753D7D"/>
    <w:rsid w:val="00757E35"/>
    <w:rsid w:val="00761CA0"/>
    <w:rsid w:val="00762ABD"/>
    <w:rsid w:val="00764181"/>
    <w:rsid w:val="0076513C"/>
    <w:rsid w:val="0076696E"/>
    <w:rsid w:val="00766A8C"/>
    <w:rsid w:val="00766D7E"/>
    <w:rsid w:val="00772760"/>
    <w:rsid w:val="00772E27"/>
    <w:rsid w:val="007768AD"/>
    <w:rsid w:val="007772B7"/>
    <w:rsid w:val="00777516"/>
    <w:rsid w:val="0078140E"/>
    <w:rsid w:val="007821F7"/>
    <w:rsid w:val="0078474E"/>
    <w:rsid w:val="00784904"/>
    <w:rsid w:val="007874FD"/>
    <w:rsid w:val="00787ACA"/>
    <w:rsid w:val="0079114C"/>
    <w:rsid w:val="00791AA8"/>
    <w:rsid w:val="00792326"/>
    <w:rsid w:val="00793911"/>
    <w:rsid w:val="00795D5A"/>
    <w:rsid w:val="007969C1"/>
    <w:rsid w:val="00797B22"/>
    <w:rsid w:val="007A2051"/>
    <w:rsid w:val="007A3610"/>
    <w:rsid w:val="007A3FE6"/>
    <w:rsid w:val="007A41D4"/>
    <w:rsid w:val="007A41FC"/>
    <w:rsid w:val="007A5828"/>
    <w:rsid w:val="007A6039"/>
    <w:rsid w:val="007A75D9"/>
    <w:rsid w:val="007A778A"/>
    <w:rsid w:val="007B2721"/>
    <w:rsid w:val="007B2B06"/>
    <w:rsid w:val="007B420D"/>
    <w:rsid w:val="007B4D1F"/>
    <w:rsid w:val="007B601D"/>
    <w:rsid w:val="007C1C43"/>
    <w:rsid w:val="007C3B43"/>
    <w:rsid w:val="007C4885"/>
    <w:rsid w:val="007C5634"/>
    <w:rsid w:val="007D0232"/>
    <w:rsid w:val="007D2D1A"/>
    <w:rsid w:val="007E40A9"/>
    <w:rsid w:val="007E4149"/>
    <w:rsid w:val="007F1863"/>
    <w:rsid w:val="007F73EE"/>
    <w:rsid w:val="00805C69"/>
    <w:rsid w:val="0080602D"/>
    <w:rsid w:val="008108E0"/>
    <w:rsid w:val="008130AE"/>
    <w:rsid w:val="00814CE1"/>
    <w:rsid w:val="008202BB"/>
    <w:rsid w:val="00821AEB"/>
    <w:rsid w:val="00821E16"/>
    <w:rsid w:val="00827F85"/>
    <w:rsid w:val="008306FF"/>
    <w:rsid w:val="008334A5"/>
    <w:rsid w:val="0084570D"/>
    <w:rsid w:val="00847A37"/>
    <w:rsid w:val="0085369C"/>
    <w:rsid w:val="0085426C"/>
    <w:rsid w:val="008547F4"/>
    <w:rsid w:val="0085509F"/>
    <w:rsid w:val="008612DB"/>
    <w:rsid w:val="00861476"/>
    <w:rsid w:val="00861DC8"/>
    <w:rsid w:val="00862810"/>
    <w:rsid w:val="008649ED"/>
    <w:rsid w:val="00867973"/>
    <w:rsid w:val="00871094"/>
    <w:rsid w:val="008712B1"/>
    <w:rsid w:val="0087139E"/>
    <w:rsid w:val="00872E51"/>
    <w:rsid w:val="0087512D"/>
    <w:rsid w:val="008755C6"/>
    <w:rsid w:val="00876F92"/>
    <w:rsid w:val="008818FF"/>
    <w:rsid w:val="00883CCA"/>
    <w:rsid w:val="0089070F"/>
    <w:rsid w:val="0089236D"/>
    <w:rsid w:val="008938A0"/>
    <w:rsid w:val="008A2490"/>
    <w:rsid w:val="008A2ABC"/>
    <w:rsid w:val="008B6664"/>
    <w:rsid w:val="008C36F0"/>
    <w:rsid w:val="008C4D58"/>
    <w:rsid w:val="008C542A"/>
    <w:rsid w:val="008D3A2C"/>
    <w:rsid w:val="008D745A"/>
    <w:rsid w:val="008D74C3"/>
    <w:rsid w:val="008E3225"/>
    <w:rsid w:val="008E46D1"/>
    <w:rsid w:val="008E58AA"/>
    <w:rsid w:val="008E6593"/>
    <w:rsid w:val="008F1BB6"/>
    <w:rsid w:val="008F3B4D"/>
    <w:rsid w:val="008F4D7E"/>
    <w:rsid w:val="008F582B"/>
    <w:rsid w:val="00900C31"/>
    <w:rsid w:val="00904637"/>
    <w:rsid w:val="00915950"/>
    <w:rsid w:val="00915FF5"/>
    <w:rsid w:val="00916A3F"/>
    <w:rsid w:val="00920937"/>
    <w:rsid w:val="00922485"/>
    <w:rsid w:val="00934CD0"/>
    <w:rsid w:val="00935B91"/>
    <w:rsid w:val="00937B0B"/>
    <w:rsid w:val="0094079F"/>
    <w:rsid w:val="00940935"/>
    <w:rsid w:val="00941A87"/>
    <w:rsid w:val="00941D7F"/>
    <w:rsid w:val="0095228B"/>
    <w:rsid w:val="00956885"/>
    <w:rsid w:val="00957E7B"/>
    <w:rsid w:val="0096148E"/>
    <w:rsid w:val="00961B1C"/>
    <w:rsid w:val="00962424"/>
    <w:rsid w:val="00966B17"/>
    <w:rsid w:val="00971618"/>
    <w:rsid w:val="009829E0"/>
    <w:rsid w:val="00983ED9"/>
    <w:rsid w:val="00985EED"/>
    <w:rsid w:val="009900EF"/>
    <w:rsid w:val="009910F9"/>
    <w:rsid w:val="009931D4"/>
    <w:rsid w:val="00993282"/>
    <w:rsid w:val="00995047"/>
    <w:rsid w:val="0099544C"/>
    <w:rsid w:val="009A109B"/>
    <w:rsid w:val="009A248C"/>
    <w:rsid w:val="009A4CBE"/>
    <w:rsid w:val="009A697F"/>
    <w:rsid w:val="009B0106"/>
    <w:rsid w:val="009B0AE2"/>
    <w:rsid w:val="009B1C78"/>
    <w:rsid w:val="009C52D9"/>
    <w:rsid w:val="009C5947"/>
    <w:rsid w:val="009D5583"/>
    <w:rsid w:val="009E00CA"/>
    <w:rsid w:val="009E1166"/>
    <w:rsid w:val="009E1741"/>
    <w:rsid w:val="009E181A"/>
    <w:rsid w:val="009E24C5"/>
    <w:rsid w:val="009E446F"/>
    <w:rsid w:val="009E622E"/>
    <w:rsid w:val="009E6414"/>
    <w:rsid w:val="009E7F88"/>
    <w:rsid w:val="009F15CC"/>
    <w:rsid w:val="009F1CE3"/>
    <w:rsid w:val="009F4CAC"/>
    <w:rsid w:val="009F7E26"/>
    <w:rsid w:val="00A02C0D"/>
    <w:rsid w:val="00A03196"/>
    <w:rsid w:val="00A05198"/>
    <w:rsid w:val="00A05547"/>
    <w:rsid w:val="00A05D3D"/>
    <w:rsid w:val="00A07A77"/>
    <w:rsid w:val="00A11001"/>
    <w:rsid w:val="00A11F1A"/>
    <w:rsid w:val="00A12796"/>
    <w:rsid w:val="00A133DB"/>
    <w:rsid w:val="00A13C24"/>
    <w:rsid w:val="00A14E97"/>
    <w:rsid w:val="00A16F67"/>
    <w:rsid w:val="00A17B12"/>
    <w:rsid w:val="00A20A2F"/>
    <w:rsid w:val="00A22D1A"/>
    <w:rsid w:val="00A22E97"/>
    <w:rsid w:val="00A268CA"/>
    <w:rsid w:val="00A26F42"/>
    <w:rsid w:val="00A306C7"/>
    <w:rsid w:val="00A3098D"/>
    <w:rsid w:val="00A31EB3"/>
    <w:rsid w:val="00A352A2"/>
    <w:rsid w:val="00A36A67"/>
    <w:rsid w:val="00A42F47"/>
    <w:rsid w:val="00A44EC4"/>
    <w:rsid w:val="00A46B62"/>
    <w:rsid w:val="00A51536"/>
    <w:rsid w:val="00A555D1"/>
    <w:rsid w:val="00A56737"/>
    <w:rsid w:val="00A56ACC"/>
    <w:rsid w:val="00A56BB1"/>
    <w:rsid w:val="00A57756"/>
    <w:rsid w:val="00A60A8A"/>
    <w:rsid w:val="00A6177B"/>
    <w:rsid w:val="00A626FF"/>
    <w:rsid w:val="00A6273F"/>
    <w:rsid w:val="00A62BC2"/>
    <w:rsid w:val="00A67B9E"/>
    <w:rsid w:val="00A71F89"/>
    <w:rsid w:val="00A74586"/>
    <w:rsid w:val="00A74F73"/>
    <w:rsid w:val="00A76690"/>
    <w:rsid w:val="00A81AC5"/>
    <w:rsid w:val="00A82CFE"/>
    <w:rsid w:val="00A85207"/>
    <w:rsid w:val="00A86793"/>
    <w:rsid w:val="00A86916"/>
    <w:rsid w:val="00A93C91"/>
    <w:rsid w:val="00A95BE4"/>
    <w:rsid w:val="00A9764A"/>
    <w:rsid w:val="00AA093F"/>
    <w:rsid w:val="00AA61E7"/>
    <w:rsid w:val="00AB06E0"/>
    <w:rsid w:val="00AB0DC7"/>
    <w:rsid w:val="00AB434B"/>
    <w:rsid w:val="00AB6456"/>
    <w:rsid w:val="00AB72C0"/>
    <w:rsid w:val="00AC1139"/>
    <w:rsid w:val="00AC25F8"/>
    <w:rsid w:val="00AC4D8D"/>
    <w:rsid w:val="00AC506E"/>
    <w:rsid w:val="00AC55FF"/>
    <w:rsid w:val="00AC5D8A"/>
    <w:rsid w:val="00AC5D99"/>
    <w:rsid w:val="00AD216D"/>
    <w:rsid w:val="00AD4262"/>
    <w:rsid w:val="00AD5290"/>
    <w:rsid w:val="00AD7047"/>
    <w:rsid w:val="00AE29AF"/>
    <w:rsid w:val="00AE40B1"/>
    <w:rsid w:val="00AF20BD"/>
    <w:rsid w:val="00AF3221"/>
    <w:rsid w:val="00AF62F1"/>
    <w:rsid w:val="00B0117C"/>
    <w:rsid w:val="00B04331"/>
    <w:rsid w:val="00B0549C"/>
    <w:rsid w:val="00B05D28"/>
    <w:rsid w:val="00B171F2"/>
    <w:rsid w:val="00B175CD"/>
    <w:rsid w:val="00B17E81"/>
    <w:rsid w:val="00B23442"/>
    <w:rsid w:val="00B23CED"/>
    <w:rsid w:val="00B23FFB"/>
    <w:rsid w:val="00B25F51"/>
    <w:rsid w:val="00B33155"/>
    <w:rsid w:val="00B34F17"/>
    <w:rsid w:val="00B3513C"/>
    <w:rsid w:val="00B35A0D"/>
    <w:rsid w:val="00B37550"/>
    <w:rsid w:val="00B41B88"/>
    <w:rsid w:val="00B42278"/>
    <w:rsid w:val="00B44211"/>
    <w:rsid w:val="00B45ACD"/>
    <w:rsid w:val="00B46A73"/>
    <w:rsid w:val="00B5088A"/>
    <w:rsid w:val="00B515C0"/>
    <w:rsid w:val="00B519EC"/>
    <w:rsid w:val="00B51BA0"/>
    <w:rsid w:val="00B521D7"/>
    <w:rsid w:val="00B549D1"/>
    <w:rsid w:val="00B60C55"/>
    <w:rsid w:val="00B668F7"/>
    <w:rsid w:val="00B732B5"/>
    <w:rsid w:val="00B75A85"/>
    <w:rsid w:val="00B77580"/>
    <w:rsid w:val="00B80059"/>
    <w:rsid w:val="00B84D3C"/>
    <w:rsid w:val="00B9318E"/>
    <w:rsid w:val="00B9416B"/>
    <w:rsid w:val="00B960DE"/>
    <w:rsid w:val="00B972E5"/>
    <w:rsid w:val="00BA3A73"/>
    <w:rsid w:val="00BA428D"/>
    <w:rsid w:val="00BA6A8A"/>
    <w:rsid w:val="00BB5FBE"/>
    <w:rsid w:val="00BC01DC"/>
    <w:rsid w:val="00BC2B43"/>
    <w:rsid w:val="00BC4036"/>
    <w:rsid w:val="00BC6B3C"/>
    <w:rsid w:val="00BC6B8C"/>
    <w:rsid w:val="00BC6CE5"/>
    <w:rsid w:val="00BD2A60"/>
    <w:rsid w:val="00BD4887"/>
    <w:rsid w:val="00BD6A5F"/>
    <w:rsid w:val="00BD6D81"/>
    <w:rsid w:val="00BD6FB1"/>
    <w:rsid w:val="00BE1A22"/>
    <w:rsid w:val="00BE217C"/>
    <w:rsid w:val="00BE6451"/>
    <w:rsid w:val="00BE6773"/>
    <w:rsid w:val="00BF0455"/>
    <w:rsid w:val="00BF08A7"/>
    <w:rsid w:val="00BF1285"/>
    <w:rsid w:val="00BF21C5"/>
    <w:rsid w:val="00BF2C0E"/>
    <w:rsid w:val="00BF31E0"/>
    <w:rsid w:val="00C101FA"/>
    <w:rsid w:val="00C12E24"/>
    <w:rsid w:val="00C12E67"/>
    <w:rsid w:val="00C164AB"/>
    <w:rsid w:val="00C16A17"/>
    <w:rsid w:val="00C17D51"/>
    <w:rsid w:val="00C21317"/>
    <w:rsid w:val="00C21BCE"/>
    <w:rsid w:val="00C226A1"/>
    <w:rsid w:val="00C24005"/>
    <w:rsid w:val="00C24623"/>
    <w:rsid w:val="00C24ED5"/>
    <w:rsid w:val="00C2546D"/>
    <w:rsid w:val="00C27B4F"/>
    <w:rsid w:val="00C3086C"/>
    <w:rsid w:val="00C36D53"/>
    <w:rsid w:val="00C408EC"/>
    <w:rsid w:val="00C41FAA"/>
    <w:rsid w:val="00C454D1"/>
    <w:rsid w:val="00C46745"/>
    <w:rsid w:val="00C47F41"/>
    <w:rsid w:val="00C50B66"/>
    <w:rsid w:val="00C52DB0"/>
    <w:rsid w:val="00C550EF"/>
    <w:rsid w:val="00C5519B"/>
    <w:rsid w:val="00C56821"/>
    <w:rsid w:val="00C578AF"/>
    <w:rsid w:val="00C63CB4"/>
    <w:rsid w:val="00C64434"/>
    <w:rsid w:val="00C650F7"/>
    <w:rsid w:val="00C668B0"/>
    <w:rsid w:val="00C66BBF"/>
    <w:rsid w:val="00C67A94"/>
    <w:rsid w:val="00C74514"/>
    <w:rsid w:val="00C765A1"/>
    <w:rsid w:val="00C77106"/>
    <w:rsid w:val="00C77C2E"/>
    <w:rsid w:val="00C81797"/>
    <w:rsid w:val="00C8284D"/>
    <w:rsid w:val="00C87582"/>
    <w:rsid w:val="00C90E2A"/>
    <w:rsid w:val="00C91633"/>
    <w:rsid w:val="00C93244"/>
    <w:rsid w:val="00C947B8"/>
    <w:rsid w:val="00C9542F"/>
    <w:rsid w:val="00C955FC"/>
    <w:rsid w:val="00C97685"/>
    <w:rsid w:val="00CA0DDA"/>
    <w:rsid w:val="00CA12E2"/>
    <w:rsid w:val="00CA1579"/>
    <w:rsid w:val="00CA6C20"/>
    <w:rsid w:val="00CA77ED"/>
    <w:rsid w:val="00CB1009"/>
    <w:rsid w:val="00CB4C1B"/>
    <w:rsid w:val="00CB50E1"/>
    <w:rsid w:val="00CC0200"/>
    <w:rsid w:val="00CC08B4"/>
    <w:rsid w:val="00CC15F0"/>
    <w:rsid w:val="00CC1BC4"/>
    <w:rsid w:val="00CC1DCE"/>
    <w:rsid w:val="00CD2F06"/>
    <w:rsid w:val="00CD66B5"/>
    <w:rsid w:val="00CE0537"/>
    <w:rsid w:val="00CE0FB8"/>
    <w:rsid w:val="00CE2058"/>
    <w:rsid w:val="00CE4F6C"/>
    <w:rsid w:val="00CF200C"/>
    <w:rsid w:val="00CF48DC"/>
    <w:rsid w:val="00CF53E1"/>
    <w:rsid w:val="00CF5970"/>
    <w:rsid w:val="00CF5CC1"/>
    <w:rsid w:val="00CF6278"/>
    <w:rsid w:val="00CF6552"/>
    <w:rsid w:val="00D00857"/>
    <w:rsid w:val="00D071E6"/>
    <w:rsid w:val="00D07891"/>
    <w:rsid w:val="00D10E6B"/>
    <w:rsid w:val="00D125A7"/>
    <w:rsid w:val="00D12A5D"/>
    <w:rsid w:val="00D12EAB"/>
    <w:rsid w:val="00D13BC0"/>
    <w:rsid w:val="00D145EC"/>
    <w:rsid w:val="00D165C7"/>
    <w:rsid w:val="00D16617"/>
    <w:rsid w:val="00D2266E"/>
    <w:rsid w:val="00D229A8"/>
    <w:rsid w:val="00D26B49"/>
    <w:rsid w:val="00D2790A"/>
    <w:rsid w:val="00D3107B"/>
    <w:rsid w:val="00D31B08"/>
    <w:rsid w:val="00D32C74"/>
    <w:rsid w:val="00D350E3"/>
    <w:rsid w:val="00D441F0"/>
    <w:rsid w:val="00D45900"/>
    <w:rsid w:val="00D468A7"/>
    <w:rsid w:val="00D4757A"/>
    <w:rsid w:val="00D51AD9"/>
    <w:rsid w:val="00D540CE"/>
    <w:rsid w:val="00D57D24"/>
    <w:rsid w:val="00D60554"/>
    <w:rsid w:val="00D60696"/>
    <w:rsid w:val="00D61EE1"/>
    <w:rsid w:val="00D62A0F"/>
    <w:rsid w:val="00D66368"/>
    <w:rsid w:val="00D677CD"/>
    <w:rsid w:val="00D7021B"/>
    <w:rsid w:val="00D70A01"/>
    <w:rsid w:val="00D71893"/>
    <w:rsid w:val="00D72CAF"/>
    <w:rsid w:val="00D733D8"/>
    <w:rsid w:val="00D85179"/>
    <w:rsid w:val="00D853E8"/>
    <w:rsid w:val="00D855DC"/>
    <w:rsid w:val="00D86F17"/>
    <w:rsid w:val="00D87860"/>
    <w:rsid w:val="00D91F29"/>
    <w:rsid w:val="00D96439"/>
    <w:rsid w:val="00D97577"/>
    <w:rsid w:val="00DB01B2"/>
    <w:rsid w:val="00DB36DC"/>
    <w:rsid w:val="00DB4DFD"/>
    <w:rsid w:val="00DB660F"/>
    <w:rsid w:val="00DB710C"/>
    <w:rsid w:val="00DC24F1"/>
    <w:rsid w:val="00DC36EF"/>
    <w:rsid w:val="00DC4ED4"/>
    <w:rsid w:val="00DE09DB"/>
    <w:rsid w:val="00DE2417"/>
    <w:rsid w:val="00DE330F"/>
    <w:rsid w:val="00DE3CB5"/>
    <w:rsid w:val="00DE4BC6"/>
    <w:rsid w:val="00DE59D0"/>
    <w:rsid w:val="00DF27BC"/>
    <w:rsid w:val="00DF2881"/>
    <w:rsid w:val="00DF431F"/>
    <w:rsid w:val="00DF4A47"/>
    <w:rsid w:val="00DF6A6A"/>
    <w:rsid w:val="00E010FF"/>
    <w:rsid w:val="00E105BC"/>
    <w:rsid w:val="00E10AA3"/>
    <w:rsid w:val="00E1145D"/>
    <w:rsid w:val="00E221C6"/>
    <w:rsid w:val="00E23EAE"/>
    <w:rsid w:val="00E303E0"/>
    <w:rsid w:val="00E30D88"/>
    <w:rsid w:val="00E34547"/>
    <w:rsid w:val="00E375A2"/>
    <w:rsid w:val="00E407AA"/>
    <w:rsid w:val="00E428D6"/>
    <w:rsid w:val="00E43A1A"/>
    <w:rsid w:val="00E43E05"/>
    <w:rsid w:val="00E520AD"/>
    <w:rsid w:val="00E54297"/>
    <w:rsid w:val="00E549D8"/>
    <w:rsid w:val="00E60F70"/>
    <w:rsid w:val="00E627A3"/>
    <w:rsid w:val="00E62A93"/>
    <w:rsid w:val="00E63B8E"/>
    <w:rsid w:val="00E65367"/>
    <w:rsid w:val="00E65DDA"/>
    <w:rsid w:val="00E67C24"/>
    <w:rsid w:val="00E717CA"/>
    <w:rsid w:val="00E748D4"/>
    <w:rsid w:val="00E74B8E"/>
    <w:rsid w:val="00E7744A"/>
    <w:rsid w:val="00E8142A"/>
    <w:rsid w:val="00E833E1"/>
    <w:rsid w:val="00E83722"/>
    <w:rsid w:val="00E868E8"/>
    <w:rsid w:val="00E95D2A"/>
    <w:rsid w:val="00E960FB"/>
    <w:rsid w:val="00E9651F"/>
    <w:rsid w:val="00EA09F7"/>
    <w:rsid w:val="00EA1312"/>
    <w:rsid w:val="00EA1A01"/>
    <w:rsid w:val="00EB393E"/>
    <w:rsid w:val="00EB40F1"/>
    <w:rsid w:val="00EB5730"/>
    <w:rsid w:val="00EB625C"/>
    <w:rsid w:val="00EB71DC"/>
    <w:rsid w:val="00EC3919"/>
    <w:rsid w:val="00ED467F"/>
    <w:rsid w:val="00ED4D68"/>
    <w:rsid w:val="00ED56D4"/>
    <w:rsid w:val="00ED5C3B"/>
    <w:rsid w:val="00EE0191"/>
    <w:rsid w:val="00EE3E7E"/>
    <w:rsid w:val="00EE539C"/>
    <w:rsid w:val="00EE568F"/>
    <w:rsid w:val="00EE6D3D"/>
    <w:rsid w:val="00EF3675"/>
    <w:rsid w:val="00EF7887"/>
    <w:rsid w:val="00F0039C"/>
    <w:rsid w:val="00F019E9"/>
    <w:rsid w:val="00F044A9"/>
    <w:rsid w:val="00F0473B"/>
    <w:rsid w:val="00F04AA2"/>
    <w:rsid w:val="00F065FF"/>
    <w:rsid w:val="00F06865"/>
    <w:rsid w:val="00F10BEB"/>
    <w:rsid w:val="00F11187"/>
    <w:rsid w:val="00F14FFA"/>
    <w:rsid w:val="00F1572A"/>
    <w:rsid w:val="00F20E7E"/>
    <w:rsid w:val="00F22F46"/>
    <w:rsid w:val="00F231FC"/>
    <w:rsid w:val="00F24E27"/>
    <w:rsid w:val="00F26C5D"/>
    <w:rsid w:val="00F308C0"/>
    <w:rsid w:val="00F32360"/>
    <w:rsid w:val="00F43542"/>
    <w:rsid w:val="00F45B8A"/>
    <w:rsid w:val="00F46FEC"/>
    <w:rsid w:val="00F516E8"/>
    <w:rsid w:val="00F528A1"/>
    <w:rsid w:val="00F537EE"/>
    <w:rsid w:val="00F562FE"/>
    <w:rsid w:val="00F56970"/>
    <w:rsid w:val="00F57077"/>
    <w:rsid w:val="00F614E0"/>
    <w:rsid w:val="00F63B1B"/>
    <w:rsid w:val="00F644F8"/>
    <w:rsid w:val="00F65CFF"/>
    <w:rsid w:val="00F70AAE"/>
    <w:rsid w:val="00F74709"/>
    <w:rsid w:val="00F74F54"/>
    <w:rsid w:val="00F75AB7"/>
    <w:rsid w:val="00F85655"/>
    <w:rsid w:val="00F8666B"/>
    <w:rsid w:val="00F87865"/>
    <w:rsid w:val="00F90A6A"/>
    <w:rsid w:val="00F91504"/>
    <w:rsid w:val="00F9299F"/>
    <w:rsid w:val="00F938FF"/>
    <w:rsid w:val="00F94194"/>
    <w:rsid w:val="00F95F36"/>
    <w:rsid w:val="00FA4290"/>
    <w:rsid w:val="00FB2218"/>
    <w:rsid w:val="00FB5D8F"/>
    <w:rsid w:val="00FB6528"/>
    <w:rsid w:val="00FB66F4"/>
    <w:rsid w:val="00FB6A1A"/>
    <w:rsid w:val="00FC0E00"/>
    <w:rsid w:val="00FC64C0"/>
    <w:rsid w:val="00FD18D0"/>
    <w:rsid w:val="00FD1ABC"/>
    <w:rsid w:val="00FD1CEF"/>
    <w:rsid w:val="00FD3C5E"/>
    <w:rsid w:val="00FD3D0A"/>
    <w:rsid w:val="00FD75C9"/>
    <w:rsid w:val="00FE0BB7"/>
    <w:rsid w:val="00FE222F"/>
    <w:rsid w:val="00FE3F13"/>
    <w:rsid w:val="00FF312D"/>
    <w:rsid w:val="00FF36F5"/>
    <w:rsid w:val="00FF3708"/>
    <w:rsid w:val="00FF41D4"/>
    <w:rsid w:val="00FF429D"/>
    <w:rsid w:val="00FF4CB3"/>
    <w:rsid w:val="00FF7331"/>
    <w:rsid w:val="04BB3DFF"/>
    <w:rsid w:val="0564DF83"/>
    <w:rsid w:val="066C6DDE"/>
    <w:rsid w:val="084D7400"/>
    <w:rsid w:val="11B49B64"/>
    <w:rsid w:val="13D2CD81"/>
    <w:rsid w:val="1AA27AAE"/>
    <w:rsid w:val="1FADFB70"/>
    <w:rsid w:val="214F9F4A"/>
    <w:rsid w:val="21CE11CA"/>
    <w:rsid w:val="2215C562"/>
    <w:rsid w:val="22E9597F"/>
    <w:rsid w:val="263DAA59"/>
    <w:rsid w:val="283A801C"/>
    <w:rsid w:val="2F1241AD"/>
    <w:rsid w:val="30B1FB1B"/>
    <w:rsid w:val="310824E3"/>
    <w:rsid w:val="317DFA63"/>
    <w:rsid w:val="319C8AFE"/>
    <w:rsid w:val="3531602A"/>
    <w:rsid w:val="355818D4"/>
    <w:rsid w:val="361271C1"/>
    <w:rsid w:val="36B54676"/>
    <w:rsid w:val="371B8A45"/>
    <w:rsid w:val="3959C7C8"/>
    <w:rsid w:val="3C0012AF"/>
    <w:rsid w:val="3D218D30"/>
    <w:rsid w:val="3ECF77C3"/>
    <w:rsid w:val="3F73423A"/>
    <w:rsid w:val="4652ED1C"/>
    <w:rsid w:val="4C11ACE5"/>
    <w:rsid w:val="4D13CE73"/>
    <w:rsid w:val="5023077D"/>
    <w:rsid w:val="5116581A"/>
    <w:rsid w:val="5BDA327A"/>
    <w:rsid w:val="61C39156"/>
    <w:rsid w:val="65B3FCE6"/>
    <w:rsid w:val="66C5D443"/>
    <w:rsid w:val="68CBBC64"/>
    <w:rsid w:val="6D57E0D0"/>
    <w:rsid w:val="6EAD482D"/>
    <w:rsid w:val="7034C90A"/>
    <w:rsid w:val="71C54C2F"/>
    <w:rsid w:val="72654A06"/>
    <w:rsid w:val="73A42DE8"/>
    <w:rsid w:val="7620AC8C"/>
    <w:rsid w:val="7676BADE"/>
    <w:rsid w:val="76D1E812"/>
    <w:rsid w:val="78C0D518"/>
    <w:rsid w:val="7BC5B4A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62CA2D52"/>
  <w15:docId w15:val="{A1DEB84C-D305-4850-80C5-9704C539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42A"/>
    <w:pPr>
      <w:spacing w:after="200" w:line="276" w:lineRule="auto"/>
      <w:jc w:val="both"/>
    </w:pPr>
    <w:rPr>
      <w:rFonts w:ascii="Myriad Pro SemiCond" w:hAnsi="Myriad Pro SemiCond"/>
      <w:sz w:val="22"/>
      <w:szCs w:val="22"/>
      <w:lang w:val="en-GB" w:eastAsia="en-US" w:bidi="en-US"/>
    </w:rPr>
  </w:style>
  <w:style w:type="paragraph" w:styleId="Heading1">
    <w:name w:val="heading 1"/>
    <w:basedOn w:val="Normal"/>
    <w:next w:val="Normal"/>
    <w:link w:val="Heading1Char"/>
    <w:uiPriority w:val="9"/>
    <w:qFormat/>
    <w:rsid w:val="001034C5"/>
    <w:pPr>
      <w:keepNext/>
      <w:keepLines/>
      <w:numPr>
        <w:numId w:val="1"/>
      </w:numPr>
      <w:spacing w:before="480" w:after="0"/>
      <w:ind w:left="431" w:hanging="431"/>
      <w:jc w:val="left"/>
      <w:outlineLvl w:val="0"/>
    </w:pPr>
    <w:rPr>
      <w:b/>
      <w:bCs/>
      <w:color w:val="365F91"/>
      <w:sz w:val="28"/>
      <w:szCs w:val="28"/>
    </w:rPr>
  </w:style>
  <w:style w:type="paragraph" w:styleId="Heading2">
    <w:name w:val="heading 2"/>
    <w:basedOn w:val="Normal"/>
    <w:next w:val="Normal"/>
    <w:link w:val="Heading2Char"/>
    <w:uiPriority w:val="9"/>
    <w:unhideWhenUsed/>
    <w:qFormat/>
    <w:rsid w:val="001034C5"/>
    <w:pPr>
      <w:keepNext/>
      <w:keepLines/>
      <w:numPr>
        <w:ilvl w:val="1"/>
        <w:numId w:val="1"/>
      </w:numPr>
      <w:spacing w:before="200" w:after="0"/>
      <w:ind w:left="578" w:hanging="578"/>
      <w:jc w:val="left"/>
      <w:outlineLvl w:val="1"/>
    </w:pPr>
    <w:rPr>
      <w:b/>
      <w:bCs/>
      <w:color w:val="4F81BD"/>
      <w:sz w:val="26"/>
      <w:szCs w:val="26"/>
    </w:rPr>
  </w:style>
  <w:style w:type="paragraph" w:styleId="Heading3">
    <w:name w:val="heading 3"/>
    <w:basedOn w:val="Normal"/>
    <w:next w:val="Normal"/>
    <w:link w:val="Heading3Char"/>
    <w:uiPriority w:val="9"/>
    <w:unhideWhenUsed/>
    <w:qFormat/>
    <w:rsid w:val="004E619D"/>
    <w:pPr>
      <w:keepNext/>
      <w:keepLines/>
      <w:numPr>
        <w:ilvl w:val="2"/>
        <w:numId w:val="1"/>
      </w:numPr>
      <w:spacing w:before="200" w:after="0"/>
      <w:outlineLvl w:val="2"/>
    </w:pPr>
    <w:rPr>
      <w:b/>
      <w:bCs/>
      <w:color w:val="4F81BD"/>
    </w:rPr>
  </w:style>
  <w:style w:type="paragraph" w:styleId="Heading4">
    <w:name w:val="heading 4"/>
    <w:basedOn w:val="Normal"/>
    <w:next w:val="Normal"/>
    <w:link w:val="Heading4Char"/>
    <w:uiPriority w:val="9"/>
    <w:semiHidden/>
    <w:unhideWhenUsed/>
    <w:qFormat/>
    <w:rsid w:val="002F6551"/>
    <w:pPr>
      <w:keepNext/>
      <w:keepLines/>
      <w:numPr>
        <w:ilvl w:val="3"/>
        <w:numId w:val="1"/>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2F6551"/>
    <w:pPr>
      <w:keepNext/>
      <w:keepLines/>
      <w:numPr>
        <w:ilvl w:val="4"/>
        <w:numId w:val="1"/>
      </w:numPr>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2F6551"/>
    <w:pPr>
      <w:keepNext/>
      <w:keepLines/>
      <w:numPr>
        <w:ilvl w:val="5"/>
        <w:numId w:val="1"/>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2F6551"/>
    <w:pPr>
      <w:keepNext/>
      <w:keepLines/>
      <w:numPr>
        <w:ilvl w:val="6"/>
        <w:numId w:val="1"/>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F6551"/>
    <w:pPr>
      <w:keepNext/>
      <w:keepLines/>
      <w:numPr>
        <w:ilvl w:val="7"/>
        <w:numId w:val="1"/>
      </w:numPr>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2F6551"/>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362"/>
    <w:pPr>
      <w:tabs>
        <w:tab w:val="center" w:pos="4320"/>
        <w:tab w:val="right" w:pos="8640"/>
      </w:tabs>
    </w:pPr>
  </w:style>
  <w:style w:type="paragraph" w:styleId="Footer">
    <w:name w:val="footer"/>
    <w:basedOn w:val="Normal"/>
    <w:link w:val="FooterChar"/>
    <w:uiPriority w:val="99"/>
    <w:rsid w:val="00B42362"/>
    <w:pPr>
      <w:tabs>
        <w:tab w:val="center" w:pos="4320"/>
        <w:tab w:val="right" w:pos="8640"/>
      </w:tabs>
    </w:pPr>
  </w:style>
  <w:style w:type="character" w:customStyle="1" w:styleId="Heading1Char">
    <w:name w:val="Heading 1 Char"/>
    <w:basedOn w:val="DefaultParagraphFont"/>
    <w:link w:val="Heading1"/>
    <w:uiPriority w:val="9"/>
    <w:rsid w:val="001034C5"/>
    <w:rPr>
      <w:rFonts w:ascii="Myriad Pro SemiCond" w:hAnsi="Myriad Pro SemiCond"/>
      <w:b/>
      <w:bCs/>
      <w:color w:val="365F91"/>
      <w:sz w:val="28"/>
      <w:szCs w:val="28"/>
      <w:lang w:val="en-GB" w:eastAsia="en-US" w:bidi="en-US"/>
    </w:rPr>
  </w:style>
  <w:style w:type="character" w:customStyle="1" w:styleId="Heading2Char">
    <w:name w:val="Heading 2 Char"/>
    <w:basedOn w:val="DefaultParagraphFont"/>
    <w:link w:val="Heading2"/>
    <w:uiPriority w:val="9"/>
    <w:rsid w:val="001034C5"/>
    <w:rPr>
      <w:rFonts w:ascii="Myriad Pro SemiCond" w:hAnsi="Myriad Pro SemiCond"/>
      <w:b/>
      <w:bCs/>
      <w:color w:val="4F81BD"/>
      <w:sz w:val="26"/>
      <w:szCs w:val="26"/>
      <w:lang w:val="en-GB" w:eastAsia="en-US" w:bidi="en-US"/>
    </w:rPr>
  </w:style>
  <w:style w:type="character" w:customStyle="1" w:styleId="Heading3Char">
    <w:name w:val="Heading 3 Char"/>
    <w:basedOn w:val="DefaultParagraphFont"/>
    <w:link w:val="Heading3"/>
    <w:uiPriority w:val="9"/>
    <w:rsid w:val="004E619D"/>
    <w:rPr>
      <w:rFonts w:ascii="Myriad Pro SemiCond" w:hAnsi="Myriad Pro SemiCond"/>
      <w:b/>
      <w:bCs/>
      <w:color w:val="4F81BD"/>
      <w:sz w:val="22"/>
      <w:szCs w:val="22"/>
      <w:lang w:val="en-GB" w:eastAsia="en-US" w:bidi="en-US"/>
    </w:rPr>
  </w:style>
  <w:style w:type="character" w:customStyle="1" w:styleId="Heading4Char">
    <w:name w:val="Heading 4 Char"/>
    <w:basedOn w:val="DefaultParagraphFont"/>
    <w:link w:val="Heading4"/>
    <w:uiPriority w:val="9"/>
    <w:semiHidden/>
    <w:rsid w:val="002F6551"/>
    <w:rPr>
      <w:rFonts w:ascii="Cambria" w:hAnsi="Cambria"/>
      <w:b/>
      <w:bCs/>
      <w:i/>
      <w:iCs/>
      <w:color w:val="4F81BD"/>
      <w:sz w:val="22"/>
      <w:szCs w:val="22"/>
      <w:lang w:val="en-GB" w:eastAsia="en-US" w:bidi="en-US"/>
    </w:rPr>
  </w:style>
  <w:style w:type="character" w:customStyle="1" w:styleId="Heading5Char">
    <w:name w:val="Heading 5 Char"/>
    <w:basedOn w:val="DefaultParagraphFont"/>
    <w:link w:val="Heading5"/>
    <w:uiPriority w:val="9"/>
    <w:semiHidden/>
    <w:rsid w:val="002F6551"/>
    <w:rPr>
      <w:rFonts w:ascii="Cambria" w:hAnsi="Cambria"/>
      <w:color w:val="243F60"/>
      <w:sz w:val="22"/>
      <w:szCs w:val="22"/>
      <w:lang w:val="en-GB" w:eastAsia="en-US" w:bidi="en-US"/>
    </w:rPr>
  </w:style>
  <w:style w:type="character" w:customStyle="1" w:styleId="Heading6Char">
    <w:name w:val="Heading 6 Char"/>
    <w:basedOn w:val="DefaultParagraphFont"/>
    <w:link w:val="Heading6"/>
    <w:uiPriority w:val="9"/>
    <w:semiHidden/>
    <w:rsid w:val="002F6551"/>
    <w:rPr>
      <w:rFonts w:ascii="Cambria" w:hAnsi="Cambria"/>
      <w:i/>
      <w:iCs/>
      <w:color w:val="243F60"/>
      <w:sz w:val="22"/>
      <w:szCs w:val="22"/>
      <w:lang w:val="en-GB" w:eastAsia="en-US" w:bidi="en-US"/>
    </w:rPr>
  </w:style>
  <w:style w:type="character" w:customStyle="1" w:styleId="Heading7Char">
    <w:name w:val="Heading 7 Char"/>
    <w:basedOn w:val="DefaultParagraphFont"/>
    <w:link w:val="Heading7"/>
    <w:uiPriority w:val="9"/>
    <w:semiHidden/>
    <w:rsid w:val="002F6551"/>
    <w:rPr>
      <w:rFonts w:ascii="Cambria" w:hAnsi="Cambria"/>
      <w:i/>
      <w:iCs/>
      <w:color w:val="404040"/>
      <w:sz w:val="22"/>
      <w:szCs w:val="22"/>
      <w:lang w:val="en-GB" w:eastAsia="en-US" w:bidi="en-US"/>
    </w:rPr>
  </w:style>
  <w:style w:type="character" w:customStyle="1" w:styleId="Heading8Char">
    <w:name w:val="Heading 8 Char"/>
    <w:basedOn w:val="DefaultParagraphFont"/>
    <w:link w:val="Heading8"/>
    <w:uiPriority w:val="9"/>
    <w:semiHidden/>
    <w:rsid w:val="002F6551"/>
    <w:rPr>
      <w:rFonts w:ascii="Cambria" w:hAnsi="Cambria"/>
      <w:color w:val="4F81BD"/>
      <w:lang w:val="en-GB" w:eastAsia="en-US" w:bidi="en-US"/>
    </w:rPr>
  </w:style>
  <w:style w:type="character" w:customStyle="1" w:styleId="Heading9Char">
    <w:name w:val="Heading 9 Char"/>
    <w:basedOn w:val="DefaultParagraphFont"/>
    <w:link w:val="Heading9"/>
    <w:uiPriority w:val="9"/>
    <w:semiHidden/>
    <w:rsid w:val="002F6551"/>
    <w:rPr>
      <w:rFonts w:ascii="Cambria" w:hAnsi="Cambria"/>
      <w:i/>
      <w:iCs/>
      <w:color w:val="404040"/>
      <w:lang w:val="en-GB" w:eastAsia="en-US" w:bidi="en-US"/>
    </w:rPr>
  </w:style>
  <w:style w:type="paragraph" w:styleId="Caption">
    <w:name w:val="caption"/>
    <w:basedOn w:val="Normal"/>
    <w:next w:val="Normal"/>
    <w:uiPriority w:val="35"/>
    <w:semiHidden/>
    <w:unhideWhenUsed/>
    <w:qFormat/>
    <w:rsid w:val="002F6551"/>
    <w:pPr>
      <w:spacing w:line="240" w:lineRule="auto"/>
    </w:pPr>
    <w:rPr>
      <w:b/>
      <w:bCs/>
      <w:color w:val="4F81BD"/>
      <w:sz w:val="18"/>
      <w:szCs w:val="18"/>
    </w:rPr>
  </w:style>
  <w:style w:type="paragraph" w:styleId="Title">
    <w:name w:val="Title"/>
    <w:basedOn w:val="Normal"/>
    <w:next w:val="Normal"/>
    <w:link w:val="TitleChar"/>
    <w:uiPriority w:val="99"/>
    <w:qFormat/>
    <w:rsid w:val="0069432C"/>
    <w:pPr>
      <w:jc w:val="left"/>
    </w:pPr>
    <w:rPr>
      <w:color w:val="FFFFFF"/>
      <w:sz w:val="48"/>
      <w:szCs w:val="48"/>
    </w:rPr>
  </w:style>
  <w:style w:type="character" w:customStyle="1" w:styleId="TitleChar">
    <w:name w:val="Title Char"/>
    <w:basedOn w:val="DefaultParagraphFont"/>
    <w:link w:val="Title"/>
    <w:uiPriority w:val="10"/>
    <w:rsid w:val="0069432C"/>
    <w:rPr>
      <w:rFonts w:ascii="Myriad Pro SemiCond" w:hAnsi="Myriad Pro SemiCond"/>
      <w:color w:val="FFFFFF"/>
      <w:sz w:val="48"/>
      <w:szCs w:val="48"/>
      <w:lang w:eastAsia="en-US" w:bidi="en-US"/>
    </w:rPr>
  </w:style>
  <w:style w:type="paragraph" w:styleId="Subtitle">
    <w:name w:val="Subtitle"/>
    <w:basedOn w:val="Normal"/>
    <w:next w:val="Normal"/>
    <w:link w:val="SubtitleChar"/>
    <w:uiPriority w:val="11"/>
    <w:qFormat/>
    <w:rsid w:val="00087E80"/>
    <w:pPr>
      <w:shd w:val="clear" w:color="auto" w:fill="FFFFFF"/>
      <w:tabs>
        <w:tab w:val="left" w:pos="709"/>
      </w:tabs>
      <w:spacing w:before="240" w:after="240" w:line="240" w:lineRule="auto"/>
      <w:jc w:val="left"/>
    </w:pPr>
    <w:rPr>
      <w:rFonts w:ascii="Myriad Pro" w:eastAsia="Calibri" w:hAnsi="Myriad Pro"/>
      <w:b/>
      <w:u w:val="single"/>
      <w:lang w:eastAsia="nb-NO" w:bidi="ar-SA"/>
    </w:rPr>
  </w:style>
  <w:style w:type="character" w:customStyle="1" w:styleId="SubtitleChar">
    <w:name w:val="Subtitle Char"/>
    <w:basedOn w:val="DefaultParagraphFont"/>
    <w:link w:val="Subtitle"/>
    <w:uiPriority w:val="11"/>
    <w:rsid w:val="00087E80"/>
    <w:rPr>
      <w:rFonts w:ascii="Myriad Pro" w:eastAsia="Calibri" w:hAnsi="Myriad Pro"/>
      <w:b/>
      <w:sz w:val="22"/>
      <w:szCs w:val="22"/>
      <w:u w:val="single"/>
      <w:shd w:val="clear" w:color="auto" w:fill="FFFFFF"/>
      <w:lang w:val="en-GB"/>
    </w:rPr>
  </w:style>
  <w:style w:type="character" w:styleId="Strong">
    <w:name w:val="Strong"/>
    <w:basedOn w:val="DefaultParagraphFont"/>
    <w:uiPriority w:val="22"/>
    <w:qFormat/>
    <w:rsid w:val="002F6551"/>
    <w:rPr>
      <w:b/>
      <w:bCs/>
    </w:rPr>
  </w:style>
  <w:style w:type="character" w:styleId="Emphasis">
    <w:name w:val="Emphasis"/>
    <w:basedOn w:val="DefaultParagraphFont"/>
    <w:uiPriority w:val="20"/>
    <w:qFormat/>
    <w:rsid w:val="002F6551"/>
    <w:rPr>
      <w:i/>
      <w:iCs/>
    </w:rPr>
  </w:style>
  <w:style w:type="paragraph" w:styleId="NoSpacing">
    <w:name w:val="No Spacing"/>
    <w:link w:val="NoSpacingChar"/>
    <w:uiPriority w:val="1"/>
    <w:qFormat/>
    <w:rsid w:val="002F6551"/>
    <w:rPr>
      <w:sz w:val="22"/>
      <w:szCs w:val="22"/>
      <w:lang w:val="en-US" w:eastAsia="en-US" w:bidi="en-US"/>
    </w:rPr>
  </w:style>
  <w:style w:type="paragraph" w:styleId="ListParagraph">
    <w:name w:val="List Paragraph"/>
    <w:basedOn w:val="Normal"/>
    <w:uiPriority w:val="34"/>
    <w:qFormat/>
    <w:rsid w:val="002F6551"/>
    <w:pPr>
      <w:ind w:left="720"/>
      <w:contextualSpacing/>
    </w:pPr>
  </w:style>
  <w:style w:type="paragraph" w:styleId="Quote">
    <w:name w:val="Quote"/>
    <w:basedOn w:val="Normal"/>
    <w:next w:val="Normal"/>
    <w:link w:val="QuoteChar"/>
    <w:uiPriority w:val="29"/>
    <w:qFormat/>
    <w:rsid w:val="00A306C7"/>
    <w:pPr>
      <w:ind w:left="720"/>
    </w:pPr>
    <w:rPr>
      <w:rFonts w:ascii="Myriad Pro Light SemiCond" w:hAnsi="Myriad Pro Light SemiCond"/>
      <w:i/>
      <w:iCs/>
      <w:color w:val="000000"/>
    </w:rPr>
  </w:style>
  <w:style w:type="character" w:customStyle="1" w:styleId="QuoteChar">
    <w:name w:val="Quote Char"/>
    <w:basedOn w:val="DefaultParagraphFont"/>
    <w:link w:val="Quote"/>
    <w:uiPriority w:val="29"/>
    <w:rsid w:val="00A306C7"/>
    <w:rPr>
      <w:rFonts w:ascii="Myriad Pro Light SemiCond" w:hAnsi="Myriad Pro Light SemiCond"/>
      <w:i/>
      <w:iCs/>
      <w:color w:val="000000"/>
      <w:sz w:val="22"/>
      <w:szCs w:val="22"/>
      <w:lang w:eastAsia="en-US" w:bidi="en-US"/>
    </w:rPr>
  </w:style>
  <w:style w:type="paragraph" w:styleId="IntenseQuote">
    <w:name w:val="Intense Quote"/>
    <w:basedOn w:val="Normal"/>
    <w:next w:val="Normal"/>
    <w:link w:val="IntenseQuoteChar"/>
    <w:uiPriority w:val="30"/>
    <w:qFormat/>
    <w:rsid w:val="002F655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F6551"/>
    <w:rPr>
      <w:b/>
      <w:bCs/>
      <w:i/>
      <w:iCs/>
      <w:color w:val="4F81BD"/>
    </w:rPr>
  </w:style>
  <w:style w:type="character" w:styleId="SubtleEmphasis">
    <w:name w:val="Subtle Emphasis"/>
    <w:basedOn w:val="DefaultParagraphFont"/>
    <w:uiPriority w:val="19"/>
    <w:qFormat/>
    <w:rsid w:val="002F6551"/>
    <w:rPr>
      <w:i/>
      <w:iCs/>
      <w:color w:val="808080"/>
    </w:rPr>
  </w:style>
  <w:style w:type="character" w:styleId="IntenseEmphasis">
    <w:name w:val="Intense Emphasis"/>
    <w:basedOn w:val="DefaultParagraphFont"/>
    <w:uiPriority w:val="21"/>
    <w:qFormat/>
    <w:rsid w:val="002F6551"/>
    <w:rPr>
      <w:b/>
      <w:bCs/>
      <w:i/>
      <w:iCs/>
      <w:color w:val="4F81BD"/>
    </w:rPr>
  </w:style>
  <w:style w:type="character" w:styleId="SubtleReference">
    <w:name w:val="Subtle Reference"/>
    <w:basedOn w:val="DefaultParagraphFont"/>
    <w:uiPriority w:val="31"/>
    <w:qFormat/>
    <w:rsid w:val="002F6551"/>
    <w:rPr>
      <w:smallCaps/>
      <w:color w:val="C0504D"/>
      <w:u w:val="single"/>
    </w:rPr>
  </w:style>
  <w:style w:type="character" w:styleId="IntenseReference">
    <w:name w:val="Intense Reference"/>
    <w:basedOn w:val="DefaultParagraphFont"/>
    <w:uiPriority w:val="32"/>
    <w:qFormat/>
    <w:rsid w:val="002F6551"/>
    <w:rPr>
      <w:b/>
      <w:bCs/>
      <w:smallCaps/>
      <w:color w:val="C0504D"/>
      <w:spacing w:val="5"/>
      <w:u w:val="single"/>
    </w:rPr>
  </w:style>
  <w:style w:type="character" w:styleId="BookTitle">
    <w:name w:val="Book Title"/>
    <w:basedOn w:val="DefaultParagraphFont"/>
    <w:uiPriority w:val="33"/>
    <w:qFormat/>
    <w:rsid w:val="002F6551"/>
    <w:rPr>
      <w:b/>
      <w:bCs/>
      <w:smallCaps/>
      <w:spacing w:val="5"/>
    </w:rPr>
  </w:style>
  <w:style w:type="paragraph" w:styleId="TOCHeading">
    <w:name w:val="TOC Heading"/>
    <w:basedOn w:val="Heading1"/>
    <w:next w:val="Normal"/>
    <w:uiPriority w:val="39"/>
    <w:semiHidden/>
    <w:unhideWhenUsed/>
    <w:qFormat/>
    <w:rsid w:val="002F6551"/>
    <w:pPr>
      <w:outlineLvl w:val="9"/>
    </w:pPr>
  </w:style>
  <w:style w:type="paragraph" w:styleId="FootnoteText">
    <w:name w:val="footnote text"/>
    <w:basedOn w:val="Normal"/>
    <w:link w:val="FootnoteTextChar"/>
    <w:semiHidden/>
    <w:rsid w:val="005E2EB7"/>
    <w:rPr>
      <w:sz w:val="20"/>
      <w:szCs w:val="20"/>
    </w:rPr>
  </w:style>
  <w:style w:type="character" w:customStyle="1" w:styleId="FootnoteTextChar">
    <w:name w:val="Footnote Text Char"/>
    <w:basedOn w:val="DefaultParagraphFont"/>
    <w:link w:val="FootnoteText"/>
    <w:semiHidden/>
    <w:rsid w:val="005E2EB7"/>
    <w:rPr>
      <w:lang w:val="en-US" w:eastAsia="en-US" w:bidi="en-US"/>
    </w:rPr>
  </w:style>
  <w:style w:type="character" w:styleId="FootnoteReference">
    <w:name w:val="footnote reference"/>
    <w:basedOn w:val="DefaultParagraphFont"/>
    <w:uiPriority w:val="99"/>
    <w:rsid w:val="005E2EB7"/>
    <w:rPr>
      <w:vertAlign w:val="superscript"/>
    </w:rPr>
  </w:style>
  <w:style w:type="character" w:customStyle="1" w:styleId="NoSpacingChar">
    <w:name w:val="No Spacing Char"/>
    <w:basedOn w:val="DefaultParagraphFont"/>
    <w:link w:val="NoSpacing"/>
    <w:uiPriority w:val="1"/>
    <w:rsid w:val="005E2EB7"/>
    <w:rPr>
      <w:sz w:val="22"/>
      <w:szCs w:val="22"/>
      <w:lang w:val="en-US" w:eastAsia="en-US" w:bidi="en-US"/>
    </w:rPr>
  </w:style>
  <w:style w:type="paragraph" w:styleId="BalloonText">
    <w:name w:val="Balloon Text"/>
    <w:basedOn w:val="Normal"/>
    <w:link w:val="BalloonTextChar"/>
    <w:uiPriority w:val="99"/>
    <w:semiHidden/>
    <w:unhideWhenUsed/>
    <w:rsid w:val="00BE2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17C"/>
    <w:rPr>
      <w:rFonts w:ascii="Tahoma" w:hAnsi="Tahoma" w:cs="Tahoma"/>
      <w:sz w:val="16"/>
      <w:szCs w:val="16"/>
      <w:lang w:eastAsia="en-US" w:bidi="en-US"/>
    </w:rPr>
  </w:style>
  <w:style w:type="character" w:customStyle="1" w:styleId="nWEntTextZchn">
    <w:name w:val="!nWEnt Text Zchn"/>
    <w:basedOn w:val="DefaultParagraphFont"/>
    <w:link w:val="nWEntText"/>
    <w:locked/>
    <w:rsid w:val="00D96439"/>
    <w:rPr>
      <w:rFonts w:ascii="Arial" w:hAnsi="Arial" w:cs="Arial"/>
    </w:rPr>
  </w:style>
  <w:style w:type="paragraph" w:customStyle="1" w:styleId="nWEntText">
    <w:name w:val="!nWEnt Text"/>
    <w:basedOn w:val="Normal"/>
    <w:link w:val="nWEntTextZchn"/>
    <w:rsid w:val="00D96439"/>
    <w:pPr>
      <w:spacing w:after="260" w:line="260" w:lineRule="exact"/>
      <w:jc w:val="left"/>
    </w:pPr>
    <w:rPr>
      <w:rFonts w:ascii="Arial" w:hAnsi="Arial" w:cs="Arial"/>
      <w:sz w:val="20"/>
      <w:szCs w:val="20"/>
      <w:lang w:eastAsia="en-GB" w:bidi="ar-SA"/>
    </w:rPr>
  </w:style>
  <w:style w:type="character" w:styleId="Hyperlink">
    <w:name w:val="Hyperlink"/>
    <w:basedOn w:val="DefaultParagraphFont"/>
    <w:uiPriority w:val="99"/>
    <w:unhideWhenUsed/>
    <w:rsid w:val="005A1A99"/>
    <w:rPr>
      <w:color w:val="0000FF" w:themeColor="hyperlink"/>
      <w:u w:val="single"/>
    </w:rPr>
  </w:style>
  <w:style w:type="character" w:styleId="CommentReference">
    <w:name w:val="annotation reference"/>
    <w:basedOn w:val="DefaultParagraphFont"/>
    <w:uiPriority w:val="99"/>
    <w:semiHidden/>
    <w:rsid w:val="00420E89"/>
    <w:rPr>
      <w:rFonts w:cs="Times New Roman"/>
      <w:sz w:val="16"/>
    </w:rPr>
  </w:style>
  <w:style w:type="paragraph" w:styleId="CommentText">
    <w:name w:val="annotation text"/>
    <w:basedOn w:val="Normal"/>
    <w:link w:val="CommentTextChar"/>
    <w:semiHidden/>
    <w:rsid w:val="00420E89"/>
    <w:pPr>
      <w:widowControl w:val="0"/>
      <w:suppressAutoHyphens/>
    </w:pPr>
    <w:rPr>
      <w:rFonts w:cs="Calibri"/>
      <w:sz w:val="20"/>
      <w:szCs w:val="20"/>
      <w:lang w:bidi="ar-SA"/>
    </w:rPr>
  </w:style>
  <w:style w:type="character" w:customStyle="1" w:styleId="CommentTextChar">
    <w:name w:val="Comment Text Char"/>
    <w:basedOn w:val="DefaultParagraphFont"/>
    <w:link w:val="CommentText"/>
    <w:semiHidden/>
    <w:rsid w:val="00420E89"/>
    <w:rPr>
      <w:rFonts w:ascii="Myriad Pro SemiCond" w:hAnsi="Myriad Pro SemiCond" w:cs="Calibri"/>
      <w:lang w:val="en-GB" w:eastAsia="en-US"/>
    </w:rPr>
  </w:style>
  <w:style w:type="character" w:styleId="FollowedHyperlink">
    <w:name w:val="FollowedHyperlink"/>
    <w:basedOn w:val="DefaultParagraphFont"/>
    <w:uiPriority w:val="99"/>
    <w:semiHidden/>
    <w:unhideWhenUsed/>
    <w:rsid w:val="00420E8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07111"/>
    <w:pPr>
      <w:widowControl/>
      <w:suppressAutoHyphens w:val="0"/>
      <w:spacing w:line="240" w:lineRule="auto"/>
    </w:pPr>
    <w:rPr>
      <w:rFonts w:cs="Times New Roman"/>
      <w:b/>
      <w:bCs/>
      <w:lang w:bidi="en-US"/>
    </w:rPr>
  </w:style>
  <w:style w:type="character" w:customStyle="1" w:styleId="CommentSubjectChar">
    <w:name w:val="Comment Subject Char"/>
    <w:basedOn w:val="CommentTextChar"/>
    <w:link w:val="CommentSubject"/>
    <w:uiPriority w:val="99"/>
    <w:semiHidden/>
    <w:rsid w:val="00107111"/>
    <w:rPr>
      <w:rFonts w:ascii="Myriad Pro SemiCond" w:hAnsi="Myriad Pro SemiCond" w:cs="Calibri"/>
      <w:b/>
      <w:bCs/>
      <w:lang w:val="en-GB" w:eastAsia="en-US" w:bidi="en-US"/>
    </w:rPr>
  </w:style>
  <w:style w:type="paragraph" w:styleId="TOC1">
    <w:name w:val="toc 1"/>
    <w:basedOn w:val="Normal"/>
    <w:next w:val="Normal"/>
    <w:autoRedefine/>
    <w:uiPriority w:val="39"/>
    <w:unhideWhenUsed/>
    <w:rsid w:val="001A3E1D"/>
    <w:pPr>
      <w:widowControl w:val="0"/>
      <w:suppressAutoHyphens/>
    </w:pPr>
    <w:rPr>
      <w:rFonts w:cs="Calibri"/>
      <w:sz w:val="20"/>
    </w:rPr>
  </w:style>
  <w:style w:type="paragraph" w:customStyle="1" w:styleId="BodyText1">
    <w:name w:val="Body Text1"/>
    <w:basedOn w:val="Normal"/>
    <w:link w:val="BodytextChar"/>
    <w:qFormat/>
    <w:rsid w:val="001A3E1D"/>
    <w:pPr>
      <w:widowControl w:val="0"/>
      <w:suppressAutoHyphens/>
      <w:jc w:val="left"/>
    </w:pPr>
    <w:rPr>
      <w:rFonts w:ascii="Myriad Pro" w:hAnsi="Myriad Pro" w:cs="Calibri"/>
      <w:lang w:eastAsia="x-none"/>
    </w:rPr>
  </w:style>
  <w:style w:type="character" w:customStyle="1" w:styleId="BodytextChar">
    <w:name w:val="Body text Char"/>
    <w:link w:val="BodyText1"/>
    <w:rsid w:val="001A3E1D"/>
    <w:rPr>
      <w:rFonts w:ascii="Myriad Pro" w:hAnsi="Myriad Pro" w:cs="Calibri"/>
      <w:sz w:val="22"/>
      <w:szCs w:val="22"/>
      <w:lang w:val="en-GB" w:eastAsia="x-none" w:bidi="en-US"/>
    </w:rPr>
  </w:style>
  <w:style w:type="character" w:customStyle="1" w:styleId="HeaderChar">
    <w:name w:val="Header Char"/>
    <w:link w:val="Header"/>
    <w:uiPriority w:val="99"/>
    <w:rsid w:val="001A3E1D"/>
    <w:rPr>
      <w:rFonts w:ascii="Myriad Pro SemiCond" w:hAnsi="Myriad Pro SemiCond"/>
      <w:sz w:val="22"/>
      <w:szCs w:val="22"/>
      <w:lang w:val="en-GB" w:eastAsia="en-US" w:bidi="en-US"/>
    </w:rPr>
  </w:style>
  <w:style w:type="paragraph" w:customStyle="1" w:styleId="FreeForm">
    <w:name w:val="Free Form"/>
    <w:rsid w:val="00246186"/>
    <w:rPr>
      <w:rFonts w:ascii="Times New Roman" w:eastAsia="ヒラギノ角ゴ Pro W3" w:hAnsi="Times New Roman"/>
      <w:color w:val="000000"/>
    </w:rPr>
  </w:style>
  <w:style w:type="paragraph" w:styleId="Revision">
    <w:name w:val="Revision"/>
    <w:hidden/>
    <w:uiPriority w:val="99"/>
    <w:semiHidden/>
    <w:rsid w:val="00DB710C"/>
    <w:rPr>
      <w:rFonts w:ascii="Myriad Pro SemiCond" w:hAnsi="Myriad Pro SemiCond"/>
      <w:sz w:val="22"/>
      <w:szCs w:val="22"/>
      <w:lang w:val="en-GB" w:eastAsia="en-US" w:bidi="en-US"/>
    </w:rPr>
  </w:style>
  <w:style w:type="paragraph" w:styleId="NormalWeb">
    <w:name w:val="Normal (Web)"/>
    <w:basedOn w:val="Normal"/>
    <w:uiPriority w:val="99"/>
    <w:semiHidden/>
    <w:unhideWhenUsed/>
    <w:rsid w:val="00717706"/>
    <w:pPr>
      <w:spacing w:before="100" w:beforeAutospacing="1" w:after="100" w:afterAutospacing="1" w:line="240" w:lineRule="auto"/>
      <w:jc w:val="left"/>
    </w:pPr>
    <w:rPr>
      <w:rFonts w:ascii="Times New Roman" w:eastAsiaTheme="minorEastAsia" w:hAnsi="Times New Roman"/>
      <w:sz w:val="24"/>
      <w:szCs w:val="24"/>
      <w:lang w:val="fr-FR" w:eastAsia="fr-FR" w:bidi="ar-SA"/>
    </w:rPr>
  </w:style>
  <w:style w:type="paragraph" w:customStyle="1" w:styleId="Default">
    <w:name w:val="Default"/>
    <w:rsid w:val="00235DCC"/>
    <w:pPr>
      <w:autoSpaceDE w:val="0"/>
      <w:autoSpaceDN w:val="0"/>
      <w:adjustRightInd w:val="0"/>
    </w:pPr>
    <w:rPr>
      <w:rFonts w:cs="Calibri"/>
      <w:color w:val="000000"/>
      <w:sz w:val="24"/>
      <w:szCs w:val="24"/>
      <w:lang w:val="en-GB"/>
    </w:rPr>
  </w:style>
  <w:style w:type="character" w:customStyle="1" w:styleId="FooterChar">
    <w:name w:val="Footer Char"/>
    <w:basedOn w:val="DefaultParagraphFont"/>
    <w:link w:val="Footer"/>
    <w:uiPriority w:val="99"/>
    <w:rsid w:val="00A42F47"/>
    <w:rPr>
      <w:rFonts w:ascii="Myriad Pro SemiCond" w:hAnsi="Myriad Pro SemiCond"/>
      <w:sz w:val="22"/>
      <w:szCs w:val="22"/>
      <w:lang w:val="en-GB" w:eastAsia="en-US" w:bidi="en-US"/>
    </w:rPr>
  </w:style>
  <w:style w:type="paragraph" w:styleId="TOC7">
    <w:name w:val="toc 7"/>
    <w:basedOn w:val="Normal"/>
    <w:next w:val="Normal"/>
    <w:autoRedefine/>
    <w:uiPriority w:val="39"/>
    <w:semiHidden/>
    <w:unhideWhenUsed/>
    <w:rsid w:val="00121A5A"/>
    <w:pPr>
      <w:spacing w:after="100"/>
      <w:ind w:left="1320"/>
    </w:pPr>
  </w:style>
  <w:style w:type="character" w:styleId="UnresolvedMention">
    <w:name w:val="Unresolved Mention"/>
    <w:basedOn w:val="DefaultParagraphFont"/>
    <w:uiPriority w:val="99"/>
    <w:semiHidden/>
    <w:unhideWhenUsed/>
    <w:rsid w:val="00B44211"/>
    <w:rPr>
      <w:color w:val="605E5C"/>
      <w:shd w:val="clear" w:color="auto" w:fill="E1DFDD"/>
    </w:rPr>
  </w:style>
  <w:style w:type="paragraph" w:customStyle="1" w:styleId="Boxedtextfront">
    <w:name w:val="Boxed text front"/>
    <w:basedOn w:val="Normal"/>
    <w:next w:val="Normal"/>
    <w:qFormat/>
    <w:rsid w:val="003A2CE4"/>
    <w:pPr>
      <w:widowControl w:val="0"/>
      <w:suppressAutoHyphens/>
      <w:spacing w:after="240" w:line="264" w:lineRule="auto"/>
      <w:ind w:left="57" w:right="57"/>
      <w:outlineLvl w:val="0"/>
    </w:pPr>
    <w:rPr>
      <w:rFonts w:ascii="Franklin Gothic Book" w:eastAsia="Arial" w:hAnsi="Franklin Gothic Book"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51976">
      <w:bodyDiv w:val="1"/>
      <w:marLeft w:val="0"/>
      <w:marRight w:val="0"/>
      <w:marTop w:val="0"/>
      <w:marBottom w:val="0"/>
      <w:divBdr>
        <w:top w:val="none" w:sz="0" w:space="0" w:color="auto"/>
        <w:left w:val="none" w:sz="0" w:space="0" w:color="auto"/>
        <w:bottom w:val="none" w:sz="0" w:space="0" w:color="auto"/>
        <w:right w:val="none" w:sz="0" w:space="0" w:color="auto"/>
      </w:divBdr>
    </w:div>
    <w:div w:id="299115704">
      <w:bodyDiv w:val="1"/>
      <w:marLeft w:val="0"/>
      <w:marRight w:val="0"/>
      <w:marTop w:val="0"/>
      <w:marBottom w:val="0"/>
      <w:divBdr>
        <w:top w:val="none" w:sz="0" w:space="0" w:color="auto"/>
        <w:left w:val="none" w:sz="0" w:space="0" w:color="auto"/>
        <w:bottom w:val="none" w:sz="0" w:space="0" w:color="auto"/>
        <w:right w:val="none" w:sz="0" w:space="0" w:color="auto"/>
      </w:divBdr>
      <w:divsChild>
        <w:div w:id="254946184">
          <w:marLeft w:val="0"/>
          <w:marRight w:val="0"/>
          <w:marTop w:val="0"/>
          <w:marBottom w:val="0"/>
          <w:divBdr>
            <w:top w:val="none" w:sz="0" w:space="0" w:color="auto"/>
            <w:left w:val="none" w:sz="0" w:space="0" w:color="auto"/>
            <w:bottom w:val="none" w:sz="0" w:space="0" w:color="auto"/>
            <w:right w:val="none" w:sz="0" w:space="0" w:color="auto"/>
          </w:divBdr>
          <w:divsChild>
            <w:div w:id="1935550817">
              <w:marLeft w:val="0"/>
              <w:marRight w:val="0"/>
              <w:marTop w:val="0"/>
              <w:marBottom w:val="0"/>
              <w:divBdr>
                <w:top w:val="none" w:sz="0" w:space="0" w:color="auto"/>
                <w:left w:val="none" w:sz="0" w:space="0" w:color="auto"/>
                <w:bottom w:val="none" w:sz="0" w:space="0" w:color="auto"/>
                <w:right w:val="none" w:sz="0" w:space="0" w:color="auto"/>
              </w:divBdr>
              <w:divsChild>
                <w:div w:id="1211452504">
                  <w:marLeft w:val="0"/>
                  <w:marRight w:val="0"/>
                  <w:marTop w:val="0"/>
                  <w:marBottom w:val="0"/>
                  <w:divBdr>
                    <w:top w:val="none" w:sz="0" w:space="0" w:color="auto"/>
                    <w:left w:val="none" w:sz="0" w:space="0" w:color="auto"/>
                    <w:bottom w:val="none" w:sz="0" w:space="0" w:color="auto"/>
                    <w:right w:val="none" w:sz="0" w:space="0" w:color="auto"/>
                  </w:divBdr>
                  <w:divsChild>
                    <w:div w:id="9572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836857">
      <w:bodyDiv w:val="1"/>
      <w:marLeft w:val="0"/>
      <w:marRight w:val="0"/>
      <w:marTop w:val="0"/>
      <w:marBottom w:val="0"/>
      <w:divBdr>
        <w:top w:val="none" w:sz="0" w:space="0" w:color="auto"/>
        <w:left w:val="none" w:sz="0" w:space="0" w:color="auto"/>
        <w:bottom w:val="none" w:sz="0" w:space="0" w:color="auto"/>
        <w:right w:val="none" w:sz="0" w:space="0" w:color="auto"/>
      </w:divBdr>
    </w:div>
    <w:div w:id="553002316">
      <w:bodyDiv w:val="1"/>
      <w:marLeft w:val="0"/>
      <w:marRight w:val="0"/>
      <w:marTop w:val="0"/>
      <w:marBottom w:val="0"/>
      <w:divBdr>
        <w:top w:val="none" w:sz="0" w:space="0" w:color="auto"/>
        <w:left w:val="none" w:sz="0" w:space="0" w:color="auto"/>
        <w:bottom w:val="none" w:sz="0" w:space="0" w:color="auto"/>
        <w:right w:val="none" w:sz="0" w:space="0" w:color="auto"/>
      </w:divBdr>
    </w:div>
    <w:div w:id="823357994">
      <w:bodyDiv w:val="1"/>
      <w:marLeft w:val="0"/>
      <w:marRight w:val="0"/>
      <w:marTop w:val="0"/>
      <w:marBottom w:val="0"/>
      <w:divBdr>
        <w:top w:val="none" w:sz="0" w:space="0" w:color="auto"/>
        <w:left w:val="none" w:sz="0" w:space="0" w:color="auto"/>
        <w:bottom w:val="none" w:sz="0" w:space="0" w:color="auto"/>
        <w:right w:val="none" w:sz="0" w:space="0" w:color="auto"/>
      </w:divBdr>
    </w:div>
    <w:div w:id="909578633">
      <w:bodyDiv w:val="1"/>
      <w:marLeft w:val="0"/>
      <w:marRight w:val="0"/>
      <w:marTop w:val="0"/>
      <w:marBottom w:val="0"/>
      <w:divBdr>
        <w:top w:val="none" w:sz="0" w:space="0" w:color="auto"/>
        <w:left w:val="none" w:sz="0" w:space="0" w:color="auto"/>
        <w:bottom w:val="none" w:sz="0" w:space="0" w:color="auto"/>
        <w:right w:val="none" w:sz="0" w:space="0" w:color="auto"/>
      </w:divBdr>
    </w:div>
    <w:div w:id="974022811">
      <w:bodyDiv w:val="1"/>
      <w:marLeft w:val="0"/>
      <w:marRight w:val="0"/>
      <w:marTop w:val="0"/>
      <w:marBottom w:val="0"/>
      <w:divBdr>
        <w:top w:val="none" w:sz="0" w:space="0" w:color="auto"/>
        <w:left w:val="none" w:sz="0" w:space="0" w:color="auto"/>
        <w:bottom w:val="none" w:sz="0" w:space="0" w:color="auto"/>
        <w:right w:val="none" w:sz="0" w:space="0" w:color="auto"/>
      </w:divBdr>
    </w:div>
    <w:div w:id="1094059976">
      <w:bodyDiv w:val="1"/>
      <w:marLeft w:val="0"/>
      <w:marRight w:val="0"/>
      <w:marTop w:val="0"/>
      <w:marBottom w:val="0"/>
      <w:divBdr>
        <w:top w:val="none" w:sz="0" w:space="0" w:color="auto"/>
        <w:left w:val="none" w:sz="0" w:space="0" w:color="auto"/>
        <w:bottom w:val="none" w:sz="0" w:space="0" w:color="auto"/>
        <w:right w:val="none" w:sz="0" w:space="0" w:color="auto"/>
      </w:divBdr>
    </w:div>
    <w:div w:id="1115247434">
      <w:bodyDiv w:val="1"/>
      <w:marLeft w:val="0"/>
      <w:marRight w:val="0"/>
      <w:marTop w:val="0"/>
      <w:marBottom w:val="0"/>
      <w:divBdr>
        <w:top w:val="none" w:sz="0" w:space="0" w:color="auto"/>
        <w:left w:val="none" w:sz="0" w:space="0" w:color="auto"/>
        <w:bottom w:val="none" w:sz="0" w:space="0" w:color="auto"/>
        <w:right w:val="none" w:sz="0" w:space="0" w:color="auto"/>
      </w:divBdr>
    </w:div>
    <w:div w:id="1160733051">
      <w:bodyDiv w:val="1"/>
      <w:marLeft w:val="0"/>
      <w:marRight w:val="0"/>
      <w:marTop w:val="0"/>
      <w:marBottom w:val="0"/>
      <w:divBdr>
        <w:top w:val="none" w:sz="0" w:space="0" w:color="auto"/>
        <w:left w:val="none" w:sz="0" w:space="0" w:color="auto"/>
        <w:bottom w:val="none" w:sz="0" w:space="0" w:color="auto"/>
        <w:right w:val="none" w:sz="0" w:space="0" w:color="auto"/>
      </w:divBdr>
    </w:div>
    <w:div w:id="1217280180">
      <w:bodyDiv w:val="1"/>
      <w:marLeft w:val="0"/>
      <w:marRight w:val="0"/>
      <w:marTop w:val="0"/>
      <w:marBottom w:val="0"/>
      <w:divBdr>
        <w:top w:val="none" w:sz="0" w:space="0" w:color="auto"/>
        <w:left w:val="none" w:sz="0" w:space="0" w:color="auto"/>
        <w:bottom w:val="none" w:sz="0" w:space="0" w:color="auto"/>
        <w:right w:val="none" w:sz="0" w:space="0" w:color="auto"/>
      </w:divBdr>
    </w:div>
    <w:div w:id="1257708908">
      <w:bodyDiv w:val="1"/>
      <w:marLeft w:val="0"/>
      <w:marRight w:val="0"/>
      <w:marTop w:val="0"/>
      <w:marBottom w:val="0"/>
      <w:divBdr>
        <w:top w:val="none" w:sz="0" w:space="0" w:color="auto"/>
        <w:left w:val="none" w:sz="0" w:space="0" w:color="auto"/>
        <w:bottom w:val="none" w:sz="0" w:space="0" w:color="auto"/>
        <w:right w:val="none" w:sz="0" w:space="0" w:color="auto"/>
      </w:divBdr>
    </w:div>
    <w:div w:id="1289581712">
      <w:bodyDiv w:val="1"/>
      <w:marLeft w:val="0"/>
      <w:marRight w:val="0"/>
      <w:marTop w:val="0"/>
      <w:marBottom w:val="0"/>
      <w:divBdr>
        <w:top w:val="none" w:sz="0" w:space="0" w:color="auto"/>
        <w:left w:val="none" w:sz="0" w:space="0" w:color="auto"/>
        <w:bottom w:val="none" w:sz="0" w:space="0" w:color="auto"/>
        <w:right w:val="none" w:sz="0" w:space="0" w:color="auto"/>
      </w:divBdr>
    </w:div>
    <w:div w:id="1374619593">
      <w:bodyDiv w:val="1"/>
      <w:marLeft w:val="0"/>
      <w:marRight w:val="0"/>
      <w:marTop w:val="0"/>
      <w:marBottom w:val="0"/>
      <w:divBdr>
        <w:top w:val="none" w:sz="0" w:space="0" w:color="auto"/>
        <w:left w:val="none" w:sz="0" w:space="0" w:color="auto"/>
        <w:bottom w:val="none" w:sz="0" w:space="0" w:color="auto"/>
        <w:right w:val="none" w:sz="0" w:space="0" w:color="auto"/>
      </w:divBdr>
    </w:div>
    <w:div w:id="1378974590">
      <w:bodyDiv w:val="1"/>
      <w:marLeft w:val="0"/>
      <w:marRight w:val="0"/>
      <w:marTop w:val="0"/>
      <w:marBottom w:val="0"/>
      <w:divBdr>
        <w:top w:val="none" w:sz="0" w:space="0" w:color="auto"/>
        <w:left w:val="none" w:sz="0" w:space="0" w:color="auto"/>
        <w:bottom w:val="none" w:sz="0" w:space="0" w:color="auto"/>
        <w:right w:val="none" w:sz="0" w:space="0" w:color="auto"/>
      </w:divBdr>
    </w:div>
    <w:div w:id="1396515305">
      <w:bodyDiv w:val="1"/>
      <w:marLeft w:val="0"/>
      <w:marRight w:val="0"/>
      <w:marTop w:val="0"/>
      <w:marBottom w:val="0"/>
      <w:divBdr>
        <w:top w:val="none" w:sz="0" w:space="0" w:color="auto"/>
        <w:left w:val="none" w:sz="0" w:space="0" w:color="auto"/>
        <w:bottom w:val="none" w:sz="0" w:space="0" w:color="auto"/>
        <w:right w:val="none" w:sz="0" w:space="0" w:color="auto"/>
      </w:divBdr>
    </w:div>
    <w:div w:id="1490100320">
      <w:bodyDiv w:val="1"/>
      <w:marLeft w:val="0"/>
      <w:marRight w:val="0"/>
      <w:marTop w:val="0"/>
      <w:marBottom w:val="0"/>
      <w:divBdr>
        <w:top w:val="none" w:sz="0" w:space="0" w:color="auto"/>
        <w:left w:val="none" w:sz="0" w:space="0" w:color="auto"/>
        <w:bottom w:val="none" w:sz="0" w:space="0" w:color="auto"/>
        <w:right w:val="none" w:sz="0" w:space="0" w:color="auto"/>
      </w:divBdr>
    </w:div>
    <w:div w:id="1668824854">
      <w:bodyDiv w:val="1"/>
      <w:marLeft w:val="0"/>
      <w:marRight w:val="0"/>
      <w:marTop w:val="0"/>
      <w:marBottom w:val="0"/>
      <w:divBdr>
        <w:top w:val="none" w:sz="0" w:space="0" w:color="auto"/>
        <w:left w:val="none" w:sz="0" w:space="0" w:color="auto"/>
        <w:bottom w:val="none" w:sz="0" w:space="0" w:color="auto"/>
        <w:right w:val="none" w:sz="0" w:space="0" w:color="auto"/>
      </w:divBdr>
    </w:div>
    <w:div w:id="1709721698">
      <w:bodyDiv w:val="1"/>
      <w:marLeft w:val="0"/>
      <w:marRight w:val="0"/>
      <w:marTop w:val="0"/>
      <w:marBottom w:val="0"/>
      <w:divBdr>
        <w:top w:val="none" w:sz="0" w:space="0" w:color="auto"/>
        <w:left w:val="none" w:sz="0" w:space="0" w:color="auto"/>
        <w:bottom w:val="none" w:sz="0" w:space="0" w:color="auto"/>
        <w:right w:val="none" w:sz="0" w:space="0" w:color="auto"/>
      </w:divBdr>
    </w:div>
    <w:div w:id="1713069793">
      <w:bodyDiv w:val="1"/>
      <w:marLeft w:val="0"/>
      <w:marRight w:val="0"/>
      <w:marTop w:val="0"/>
      <w:marBottom w:val="0"/>
      <w:divBdr>
        <w:top w:val="none" w:sz="0" w:space="0" w:color="auto"/>
        <w:left w:val="none" w:sz="0" w:space="0" w:color="auto"/>
        <w:bottom w:val="none" w:sz="0" w:space="0" w:color="auto"/>
        <w:right w:val="none" w:sz="0" w:space="0" w:color="auto"/>
      </w:divBdr>
    </w:div>
    <w:div w:id="1726371163">
      <w:bodyDiv w:val="1"/>
      <w:marLeft w:val="0"/>
      <w:marRight w:val="0"/>
      <w:marTop w:val="0"/>
      <w:marBottom w:val="0"/>
      <w:divBdr>
        <w:top w:val="none" w:sz="0" w:space="0" w:color="auto"/>
        <w:left w:val="none" w:sz="0" w:space="0" w:color="auto"/>
        <w:bottom w:val="none" w:sz="0" w:space="0" w:color="auto"/>
        <w:right w:val="none" w:sz="0" w:space="0" w:color="auto"/>
      </w:divBdr>
    </w:div>
    <w:div w:id="2007711835">
      <w:bodyDiv w:val="1"/>
      <w:marLeft w:val="0"/>
      <w:marRight w:val="0"/>
      <w:marTop w:val="0"/>
      <w:marBottom w:val="0"/>
      <w:divBdr>
        <w:top w:val="none" w:sz="0" w:space="0" w:color="auto"/>
        <w:left w:val="none" w:sz="0" w:space="0" w:color="auto"/>
        <w:bottom w:val="none" w:sz="0" w:space="0" w:color="auto"/>
        <w:right w:val="none" w:sz="0" w:space="0" w:color="auto"/>
      </w:divBdr>
    </w:div>
    <w:div w:id="2017463265">
      <w:bodyDiv w:val="1"/>
      <w:marLeft w:val="0"/>
      <w:marRight w:val="0"/>
      <w:marTop w:val="0"/>
      <w:marBottom w:val="0"/>
      <w:divBdr>
        <w:top w:val="none" w:sz="0" w:space="0" w:color="auto"/>
        <w:left w:val="none" w:sz="0" w:space="0" w:color="auto"/>
        <w:bottom w:val="none" w:sz="0" w:space="0" w:color="auto"/>
        <w:right w:val="none" w:sz="0" w:space="0" w:color="auto"/>
      </w:divBdr>
    </w:div>
    <w:div w:id="2116751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eiti.org/GN18" TargetMode="External"/><Relationship Id="rId3" Type="http://schemas.openxmlformats.org/officeDocument/2006/relationships/hyperlink" Target="https://eiti.org/document/preparing-for-energy-transition-key-questions-for-countries-dependent-on-oil-gas-mining" TargetMode="External"/><Relationship Id="rId7" Type="http://schemas.openxmlformats.org/officeDocument/2006/relationships/hyperlink" Target="https://eiti.org/document/tools-to-include-beneficial-ownership-information-in-eiti-reporting" TargetMode="External"/><Relationship Id="rId12" Type="http://schemas.openxmlformats.org/officeDocument/2006/relationships/hyperlink" Target="https://eiti.org/document/eiti-summary-data-template" TargetMode="External"/><Relationship Id="rId2" Type="http://schemas.openxmlformats.org/officeDocument/2006/relationships/hyperlink" Target="https://eiti.org/document/2021-validation-model-templates" TargetMode="External"/><Relationship Id="rId1" Type="http://schemas.openxmlformats.org/officeDocument/2006/relationships/hyperlink" Target="https://eiti.org/board-decision/2020-31" TargetMode="External"/><Relationship Id="rId6" Type="http://schemas.openxmlformats.org/officeDocument/2006/relationships/hyperlink" Target="https://eiti.org/guide/contracts" TargetMode="External"/><Relationship Id="rId11" Type="http://schemas.openxmlformats.org/officeDocument/2006/relationships/hyperlink" Target="https://eiti.org/board-decision/2020-31" TargetMode="External"/><Relationship Id="rId5" Type="http://schemas.openxmlformats.org/officeDocument/2006/relationships/hyperlink" Target="https://eiti.org/guide/license-registers" TargetMode="External"/><Relationship Id="rId10" Type="http://schemas.openxmlformats.org/officeDocument/2006/relationships/hyperlink" Target="https://eiti.org/document/guidance-note-on-data-quality-assurance" TargetMode="External"/><Relationship Id="rId4" Type="http://schemas.openxmlformats.org/officeDocument/2006/relationships/hyperlink" Target="https://eiti.org/GN13" TargetMode="External"/><Relationship Id="rId9" Type="http://schemas.openxmlformats.org/officeDocument/2006/relationships/hyperlink" Target="https://eiti.org/document/eiti-summary-data-templat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14\Desktop\Template%20Word%20-%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BB3B790D4CD34F81FC0BEB718ECEB9" ma:contentTypeVersion="11" ma:contentTypeDescription="Create a new document." ma:contentTypeScope="" ma:versionID="42402312c3cc494b9075b6842b4aaea2">
  <xsd:schema xmlns:xsd="http://www.w3.org/2001/XMLSchema" xmlns:xs="http://www.w3.org/2001/XMLSchema" xmlns:p="http://schemas.microsoft.com/office/2006/metadata/properties" xmlns:ns2="d9eb0d81-beec-4074-bc6f-8be11319408c" xmlns:ns3="ec4d7596-7f32-41a8-9a95-4275d9a1ea6b" targetNamespace="http://schemas.microsoft.com/office/2006/metadata/properties" ma:root="true" ma:fieldsID="93c359611d62fe146e58d1048507fb9c" ns2:_="" ns3:_="">
    <xsd:import namespace="d9eb0d81-beec-4074-bc6f-8be11319408c"/>
    <xsd:import namespace="ec4d7596-7f32-41a8-9a95-4275d9a1ea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b0d81-beec-4074-bc6f-8be113194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4d7596-7f32-41a8-9a95-4275d9a1ea6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59ED34-16CF-497F-AB3C-CC3461D8D47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9eb0d81-beec-4074-bc6f-8be11319408c"/>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1061009-C383-4259-BD4A-9BC266C48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b0d81-beec-4074-bc6f-8be11319408c"/>
    <ds:schemaRef ds:uri="ec4d7596-7f32-41a8-9a95-4275d9a1e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D4BBEA-C0D8-4256-B54A-9AA44611B5D0}">
  <ds:schemaRefs>
    <ds:schemaRef ds:uri="http://schemas.openxmlformats.org/officeDocument/2006/bibliography"/>
  </ds:schemaRefs>
</ds:datastoreItem>
</file>

<file path=customXml/itemProps4.xml><?xml version="1.0" encoding="utf-8"?>
<ds:datastoreItem xmlns:ds="http://schemas.openxmlformats.org/officeDocument/2006/customXml" ds:itemID="{3954FED4-D429-43E7-BD17-4EC59B65CB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Word - Paper</Template>
  <TotalTime>18</TotalTime>
  <Pages>10</Pages>
  <Words>3810</Words>
  <Characters>21972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EITI</Company>
  <LinksUpToDate>false</LinksUpToDate>
  <CharactersWithSpaces>25731</CharactersWithSpaces>
  <SharedDoc>false</SharedDoc>
  <HLinks>
    <vt:vector size="96" baseType="variant">
      <vt:variant>
        <vt:i4>1966131</vt:i4>
      </vt:variant>
      <vt:variant>
        <vt:i4>20</vt:i4>
      </vt:variant>
      <vt:variant>
        <vt:i4>0</vt:i4>
      </vt:variant>
      <vt:variant>
        <vt:i4>5</vt:i4>
      </vt:variant>
      <vt:variant>
        <vt:lpwstr/>
      </vt:variant>
      <vt:variant>
        <vt:lpwstr>_Toc42596341</vt:lpwstr>
      </vt:variant>
      <vt:variant>
        <vt:i4>2031667</vt:i4>
      </vt:variant>
      <vt:variant>
        <vt:i4>14</vt:i4>
      </vt:variant>
      <vt:variant>
        <vt:i4>0</vt:i4>
      </vt:variant>
      <vt:variant>
        <vt:i4>5</vt:i4>
      </vt:variant>
      <vt:variant>
        <vt:lpwstr/>
      </vt:variant>
      <vt:variant>
        <vt:lpwstr>_Toc42596340</vt:lpwstr>
      </vt:variant>
      <vt:variant>
        <vt:i4>1441844</vt:i4>
      </vt:variant>
      <vt:variant>
        <vt:i4>8</vt:i4>
      </vt:variant>
      <vt:variant>
        <vt:i4>0</vt:i4>
      </vt:variant>
      <vt:variant>
        <vt:i4>5</vt:i4>
      </vt:variant>
      <vt:variant>
        <vt:lpwstr/>
      </vt:variant>
      <vt:variant>
        <vt:lpwstr>_Toc42596339</vt:lpwstr>
      </vt:variant>
      <vt:variant>
        <vt:i4>1507380</vt:i4>
      </vt:variant>
      <vt:variant>
        <vt:i4>2</vt:i4>
      </vt:variant>
      <vt:variant>
        <vt:i4>0</vt:i4>
      </vt:variant>
      <vt:variant>
        <vt:i4>5</vt:i4>
      </vt:variant>
      <vt:variant>
        <vt:lpwstr/>
      </vt:variant>
      <vt:variant>
        <vt:lpwstr>_Toc42596338</vt:lpwstr>
      </vt:variant>
      <vt:variant>
        <vt:i4>1572947</vt:i4>
      </vt:variant>
      <vt:variant>
        <vt:i4>33</vt:i4>
      </vt:variant>
      <vt:variant>
        <vt:i4>0</vt:i4>
      </vt:variant>
      <vt:variant>
        <vt:i4>5</vt:i4>
      </vt:variant>
      <vt:variant>
        <vt:lpwstr>https://eiti.org/document/eiti-summary-data-template</vt:lpwstr>
      </vt:variant>
      <vt:variant>
        <vt:lpwstr/>
      </vt:variant>
      <vt:variant>
        <vt:i4>7929908</vt:i4>
      </vt:variant>
      <vt:variant>
        <vt:i4>30</vt:i4>
      </vt:variant>
      <vt:variant>
        <vt:i4>0</vt:i4>
      </vt:variant>
      <vt:variant>
        <vt:i4>5</vt:i4>
      </vt:variant>
      <vt:variant>
        <vt:lpwstr>https://eiti.org/board-decision/2020-31</vt:lpwstr>
      </vt:variant>
      <vt:variant>
        <vt:lpwstr/>
      </vt:variant>
      <vt:variant>
        <vt:i4>524366</vt:i4>
      </vt:variant>
      <vt:variant>
        <vt:i4>27</vt:i4>
      </vt:variant>
      <vt:variant>
        <vt:i4>0</vt:i4>
      </vt:variant>
      <vt:variant>
        <vt:i4>5</vt:i4>
      </vt:variant>
      <vt:variant>
        <vt:lpwstr>https://eiti.org/document/guidance-note-on-data-quality-assurance</vt:lpwstr>
      </vt:variant>
      <vt:variant>
        <vt:lpwstr/>
      </vt:variant>
      <vt:variant>
        <vt:i4>1572947</vt:i4>
      </vt:variant>
      <vt:variant>
        <vt:i4>24</vt:i4>
      </vt:variant>
      <vt:variant>
        <vt:i4>0</vt:i4>
      </vt:variant>
      <vt:variant>
        <vt:i4>5</vt:i4>
      </vt:variant>
      <vt:variant>
        <vt:lpwstr>https://eiti.org/document/eiti-summary-data-template</vt:lpwstr>
      </vt:variant>
      <vt:variant>
        <vt:lpwstr/>
      </vt:variant>
      <vt:variant>
        <vt:i4>5177420</vt:i4>
      </vt:variant>
      <vt:variant>
        <vt:i4>21</vt:i4>
      </vt:variant>
      <vt:variant>
        <vt:i4>0</vt:i4>
      </vt:variant>
      <vt:variant>
        <vt:i4>5</vt:i4>
      </vt:variant>
      <vt:variant>
        <vt:lpwstr>https://eiti.org/GN18</vt:lpwstr>
      </vt:variant>
      <vt:variant>
        <vt:lpwstr/>
      </vt:variant>
      <vt:variant>
        <vt:i4>1114130</vt:i4>
      </vt:variant>
      <vt:variant>
        <vt:i4>18</vt:i4>
      </vt:variant>
      <vt:variant>
        <vt:i4>0</vt:i4>
      </vt:variant>
      <vt:variant>
        <vt:i4>5</vt:i4>
      </vt:variant>
      <vt:variant>
        <vt:lpwstr>https://eiti.org/document/tools-to-include-beneficial-ownership-information-in-eiti-reporting</vt:lpwstr>
      </vt:variant>
      <vt:variant>
        <vt:lpwstr/>
      </vt:variant>
      <vt:variant>
        <vt:i4>1900562</vt:i4>
      </vt:variant>
      <vt:variant>
        <vt:i4>15</vt:i4>
      </vt:variant>
      <vt:variant>
        <vt:i4>0</vt:i4>
      </vt:variant>
      <vt:variant>
        <vt:i4>5</vt:i4>
      </vt:variant>
      <vt:variant>
        <vt:lpwstr>https://eiti.org/guide/contracts</vt:lpwstr>
      </vt:variant>
      <vt:variant>
        <vt:lpwstr/>
      </vt:variant>
      <vt:variant>
        <vt:i4>393284</vt:i4>
      </vt:variant>
      <vt:variant>
        <vt:i4>12</vt:i4>
      </vt:variant>
      <vt:variant>
        <vt:i4>0</vt:i4>
      </vt:variant>
      <vt:variant>
        <vt:i4>5</vt:i4>
      </vt:variant>
      <vt:variant>
        <vt:lpwstr>https://eiti.org/guide/license-registers</vt:lpwstr>
      </vt:variant>
      <vt:variant>
        <vt:lpwstr/>
      </vt:variant>
      <vt:variant>
        <vt:i4>7340075</vt:i4>
      </vt:variant>
      <vt:variant>
        <vt:i4>9</vt:i4>
      </vt:variant>
      <vt:variant>
        <vt:i4>0</vt:i4>
      </vt:variant>
      <vt:variant>
        <vt:i4>5</vt:i4>
      </vt:variant>
      <vt:variant>
        <vt:lpwstr>https://eiti.org/guide/license-allocations</vt:lpwstr>
      </vt:variant>
      <vt:variant>
        <vt:lpwstr/>
      </vt:variant>
      <vt:variant>
        <vt:i4>5177420</vt:i4>
      </vt:variant>
      <vt:variant>
        <vt:i4>6</vt:i4>
      </vt:variant>
      <vt:variant>
        <vt:i4>0</vt:i4>
      </vt:variant>
      <vt:variant>
        <vt:i4>5</vt:i4>
      </vt:variant>
      <vt:variant>
        <vt:lpwstr>https://eiti.org/GN13</vt:lpwstr>
      </vt:variant>
      <vt:variant>
        <vt:lpwstr/>
      </vt:variant>
      <vt:variant>
        <vt:i4>5767260</vt:i4>
      </vt:variant>
      <vt:variant>
        <vt:i4>3</vt:i4>
      </vt:variant>
      <vt:variant>
        <vt:i4>0</vt:i4>
      </vt:variant>
      <vt:variant>
        <vt:i4>5</vt:i4>
      </vt:variant>
      <vt:variant>
        <vt:lpwstr>https://eiti.org/document/preparing-for-energy-transition-key-questions-for-countries-dependent-on-oil-gas-mining</vt:lpwstr>
      </vt:variant>
      <vt:variant>
        <vt:lpwstr/>
      </vt:variant>
      <vt:variant>
        <vt:i4>7929908</vt:i4>
      </vt:variant>
      <vt:variant>
        <vt:i4>0</vt:i4>
      </vt:variant>
      <vt:variant>
        <vt:i4>0</vt:i4>
      </vt:variant>
      <vt:variant>
        <vt:i4>5</vt:i4>
      </vt:variant>
      <vt:variant>
        <vt:lpwstr>https://eiti.org/board-decision/2020-31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Shemshat Kasimova</dc:creator>
  <cp:keywords/>
  <cp:lastModifiedBy>Sandra Rojas</cp:lastModifiedBy>
  <cp:revision>10</cp:revision>
  <cp:lastPrinted>2016-02-10T08:23:00Z</cp:lastPrinted>
  <dcterms:created xsi:type="dcterms:W3CDTF">2021-11-26T13:16:00Z</dcterms:created>
  <dcterms:modified xsi:type="dcterms:W3CDTF">2022-01-25T16:25:00Z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0x010100F6BB3B790D4CD34F81FC0BEB718ECEB9</vt:lpwstr>
  </property>
  <property fmtid="{D5CDD505-2E9C-101B-9397-08002B2CF9AE}" pid="3" name="Document type">
    <vt:lpwstr/>
  </property>
</Properties>
</file>